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9219C" w:rsidP="5D0CA39B" w:rsidRDefault="00DA68A6" w14:paraId="4BF7A8FE" w14:textId="22525C60">
      <w:pPr>
        <w:pStyle w:val="Title"/>
        <w:jc w:val="left"/>
        <w:rPr>
          <w:rFonts w:ascii="Calibri" w:hAnsi="Calibri"/>
          <w:color w:val="176A91"/>
          <w:lang w:val="en-GB"/>
        </w:rPr>
      </w:pPr>
      <w:r>
        <w:rPr>
          <w:rFonts w:ascii="ITC Avant Garde Pro Bk" w:hAnsi="ITC Avant Garde Pro Bk"/>
          <w:noProof/>
          <w:sz w:val="28"/>
        </w:rPr>
        <w:drawing>
          <wp:anchor distT="0" distB="0" distL="114300" distR="114300" simplePos="0" relativeHeight="251658240" behindDoc="0" locked="0" layoutInCell="1" allowOverlap="1" wp14:anchorId="1FFC3F56" wp14:editId="70349500">
            <wp:simplePos x="0" y="0"/>
            <wp:positionH relativeFrom="margin">
              <wp:posOffset>4922520</wp:posOffset>
            </wp:positionH>
            <wp:positionV relativeFrom="page">
              <wp:posOffset>601980</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2F86FFFF">
        <w:rPr/>
        <w:t/>
      </w:r>
    </w:p>
    <w:p w:rsidRPr="00202CA7" w:rsidR="0064421D" w:rsidP="00202CA7" w:rsidRDefault="0064421D" w14:paraId="1DA2D447" w14:textId="40F6812A">
      <w:pPr>
        <w:pBdr>
          <w:top w:val="single" w:color="186B94" w:sz="24" w:space="0"/>
          <w:left w:val="single" w:color="186B94" w:sz="24" w:space="0"/>
          <w:bottom w:val="single" w:color="186B94" w:sz="24" w:space="0"/>
          <w:right w:val="single" w:color="186B94" w:sz="24" w:space="0"/>
        </w:pBdr>
        <w:shd w:val="clear" w:color="auto" w:fill="186B94"/>
        <w:spacing w:after="0" w:line="276" w:lineRule="auto"/>
        <w:outlineLvl w:val="0"/>
        <w:rPr>
          <w:rFonts w:ascii="ITC Avant Garde Pro Bk" w:hAnsi="ITC Avant Garde Pro Bk" w:eastAsia="Yu Mincho" w:cs="Arial"/>
          <w:caps/>
          <w:color w:val="FFFFFF"/>
          <w:spacing w:val="15"/>
          <w:sz w:val="28"/>
          <w:szCs w:val="28"/>
        </w:rPr>
      </w:pPr>
      <w:r w:rsidRPr="00202CA7">
        <w:rPr>
          <w:rFonts w:ascii="ITC Avant Garde Pro Bk" w:hAnsi="ITC Avant Garde Pro Bk" w:eastAsia="Yu Mincho" w:cs="Arial"/>
          <w:caps/>
          <w:color w:val="FFFFFF"/>
          <w:spacing w:val="15"/>
          <w:sz w:val="28"/>
          <w:szCs w:val="28"/>
        </w:rPr>
        <w:t xml:space="preserve">UKPHS </w:t>
      </w:r>
      <w:r w:rsidRPr="00202CA7" w:rsidR="0961AD5B">
        <w:rPr>
          <w:rFonts w:ascii="ITC Avant Garde Pro Bk" w:hAnsi="ITC Avant Garde Pro Bk" w:eastAsia="Yu Mincho" w:cs="Arial"/>
          <w:caps/>
          <w:color w:val="FFFFFF"/>
          <w:spacing w:val="15"/>
          <w:sz w:val="28"/>
          <w:szCs w:val="28"/>
        </w:rPr>
        <w:t>COVID</w:t>
      </w:r>
      <w:r w:rsidRPr="00202CA7">
        <w:rPr>
          <w:rFonts w:ascii="ITC Avant Garde Pro Bk" w:hAnsi="ITC Avant Garde Pro Bk" w:eastAsia="Yu Mincho" w:cs="Arial"/>
          <w:caps/>
          <w:color w:val="FFFFFF"/>
          <w:spacing w:val="15"/>
          <w:sz w:val="28"/>
          <w:szCs w:val="28"/>
        </w:rPr>
        <w:t>-19 Response Fund</w:t>
      </w:r>
      <w:r w:rsidR="00202CA7">
        <w:rPr>
          <w:rFonts w:ascii="ITC Avant Garde Pro Bk" w:hAnsi="ITC Avant Garde Pro Bk" w:eastAsia="Yu Mincho" w:cs="Arial"/>
          <w:caps/>
          <w:color w:val="FFFFFF"/>
          <w:spacing w:val="15"/>
          <w:sz w:val="28"/>
          <w:szCs w:val="28"/>
        </w:rPr>
        <w:t>: annex 1</w:t>
      </w:r>
    </w:p>
    <w:p w:rsidRPr="0064421D" w:rsidR="0064421D" w:rsidP="0064421D" w:rsidRDefault="0064421D" w14:paraId="0AB65BDF" w14:textId="4BC5F330">
      <w:pPr>
        <w:pStyle w:val="Title"/>
        <w:jc w:val="left"/>
        <w:rPr>
          <w:rFonts w:ascii="Calibri" w:hAnsi="Calibri"/>
          <w:color w:val="176A91"/>
          <w:sz w:val="40"/>
          <w:szCs w:val="40"/>
          <w:lang w:val="en-GB"/>
        </w:rPr>
      </w:pPr>
      <w:r>
        <w:rPr>
          <w:rFonts w:ascii="Calibri" w:hAnsi="Calibri"/>
          <w:color w:val="176A91"/>
          <w:sz w:val="40"/>
          <w:szCs w:val="40"/>
          <w:lang w:val="en-GB"/>
        </w:rPr>
        <w:t>Appropriate responses</w:t>
      </w:r>
    </w:p>
    <w:p w:rsidRPr="00555B73" w:rsidR="00625C17" w:rsidP="00C55A90" w:rsidRDefault="00CD03B4" w14:paraId="33F1A26B" w14:textId="013877BC">
      <w:pPr>
        <w:spacing w:before="240" w:after="120"/>
        <w:rPr>
          <w:sz w:val="20"/>
          <w:szCs w:val="20"/>
        </w:rPr>
      </w:pPr>
      <w:r w:rsidRPr="5D0CA39B">
        <w:rPr>
          <w:sz w:val="20"/>
          <w:szCs w:val="20"/>
        </w:rPr>
        <w:t xml:space="preserve">While planning any </w:t>
      </w:r>
      <w:r w:rsidRPr="5D0CA39B" w:rsidR="60DB2290">
        <w:rPr>
          <w:sz w:val="20"/>
          <w:szCs w:val="20"/>
        </w:rPr>
        <w:t>COVID</w:t>
      </w:r>
      <w:r w:rsidRPr="5D0CA39B">
        <w:rPr>
          <w:sz w:val="20"/>
          <w:szCs w:val="20"/>
        </w:rPr>
        <w:t xml:space="preserve">-19 intervention, it </w:t>
      </w:r>
      <w:r w:rsidRPr="5D0CA39B" w:rsidR="00625C17">
        <w:rPr>
          <w:sz w:val="20"/>
          <w:szCs w:val="20"/>
        </w:rPr>
        <w:t xml:space="preserve">is important to recognise that responses should be underpinned by </w:t>
      </w:r>
      <w:r w:rsidR="009731A0">
        <w:rPr>
          <w:sz w:val="20"/>
          <w:szCs w:val="20"/>
        </w:rPr>
        <w:t xml:space="preserve">these </w:t>
      </w:r>
      <w:r w:rsidRPr="5D0CA39B" w:rsidR="00625C17">
        <w:rPr>
          <w:sz w:val="20"/>
          <w:szCs w:val="20"/>
        </w:rPr>
        <w:t>core design principles</w:t>
      </w:r>
      <w:r w:rsidR="009731A0">
        <w:rPr>
          <w:sz w:val="20"/>
          <w:szCs w:val="20"/>
        </w:rPr>
        <w:t xml:space="preserve"> highlighted by </w:t>
      </w:r>
      <w:r w:rsidR="00A436C7">
        <w:rPr>
          <w:sz w:val="20"/>
          <w:szCs w:val="20"/>
        </w:rPr>
        <w:t>the FCDO</w:t>
      </w:r>
      <w:r w:rsidRPr="5D0CA39B" w:rsidR="00555B73">
        <w:rPr>
          <w:sz w:val="20"/>
          <w:szCs w:val="20"/>
        </w:rPr>
        <w:t xml:space="preserve"> in order</w:t>
      </w:r>
      <w:r w:rsidRPr="5D0CA39B" w:rsidR="00625C17">
        <w:rPr>
          <w:sz w:val="20"/>
          <w:szCs w:val="20"/>
        </w:rPr>
        <w:t xml:space="preserve"> to maximise effectiveness: </w:t>
      </w:r>
    </w:p>
    <w:p w:rsidRPr="00555B73" w:rsidR="00625C17" w:rsidP="00625C17" w:rsidRDefault="00625C17" w14:paraId="57F0BD88" w14:textId="77777777">
      <w:pPr>
        <w:pStyle w:val="ListParagraph"/>
        <w:numPr>
          <w:ilvl w:val="0"/>
          <w:numId w:val="6"/>
        </w:numPr>
        <w:spacing w:after="120"/>
        <w:ind w:left="357" w:hanging="357"/>
        <w:rPr>
          <w:sz w:val="20"/>
          <w:szCs w:val="20"/>
        </w:rPr>
      </w:pPr>
      <w:r w:rsidRPr="00555B73">
        <w:rPr>
          <w:b/>
          <w:sz w:val="20"/>
          <w:szCs w:val="20"/>
        </w:rPr>
        <w:t>Apply a context-sensitive approach</w:t>
      </w:r>
      <w:r w:rsidRPr="00555B73">
        <w:rPr>
          <w:sz w:val="20"/>
          <w:szCs w:val="20"/>
        </w:rPr>
        <w:t xml:space="preserve">: one size does not fit all. All approaches will not be possible in all contexts, particularly in fragile and conflict-affected states. Context also affects ranking of approaches. </w:t>
      </w:r>
    </w:p>
    <w:p w:rsidRPr="00555B73" w:rsidR="00625C17" w:rsidP="00625C17" w:rsidRDefault="00625C17" w14:paraId="49A4025E" w14:textId="2859C93E">
      <w:pPr>
        <w:pStyle w:val="ListParagraph"/>
        <w:numPr>
          <w:ilvl w:val="0"/>
          <w:numId w:val="5"/>
        </w:numPr>
        <w:spacing w:after="120"/>
        <w:ind w:left="357" w:hanging="357"/>
        <w:rPr>
          <w:sz w:val="20"/>
          <w:szCs w:val="20"/>
        </w:rPr>
      </w:pPr>
      <w:r w:rsidRPr="00555B73">
        <w:rPr>
          <w:b/>
          <w:sz w:val="20"/>
          <w:szCs w:val="20"/>
        </w:rPr>
        <w:t>Co-create solutions with communities affected</w:t>
      </w:r>
      <w:r w:rsidRPr="00555B73">
        <w:rPr>
          <w:sz w:val="20"/>
          <w:szCs w:val="20"/>
        </w:rPr>
        <w:t>, recognising there are diverse needs at community level by age, gender, disability, and other factors. Communities are best placed to identify opportunities, challenges, and practical solutions in their contexts. This will also build trust and improve compliance.</w:t>
      </w:r>
    </w:p>
    <w:p w:rsidRPr="00555B73" w:rsidR="00625C17" w:rsidP="00625C17" w:rsidRDefault="00625C17" w14:paraId="33FBA292" w14:textId="77777777">
      <w:pPr>
        <w:pStyle w:val="ListParagraph"/>
        <w:numPr>
          <w:ilvl w:val="0"/>
          <w:numId w:val="5"/>
        </w:numPr>
        <w:spacing w:after="120"/>
        <w:ind w:left="357" w:hanging="357"/>
        <w:rPr>
          <w:sz w:val="20"/>
          <w:szCs w:val="20"/>
        </w:rPr>
      </w:pPr>
      <w:r w:rsidRPr="00555B73">
        <w:rPr>
          <w:b/>
          <w:sz w:val="20"/>
          <w:szCs w:val="20"/>
        </w:rPr>
        <w:t>Balance benefits for disease control against negative indirect impacts</w:t>
      </w:r>
      <w:r w:rsidRPr="00555B73">
        <w:rPr>
          <w:sz w:val="20"/>
          <w:szCs w:val="20"/>
        </w:rPr>
        <w:t xml:space="preserve"> to minimise the overall impact on poverty and development, including on wider health outcomes.</w:t>
      </w:r>
    </w:p>
    <w:p w:rsidRPr="00555B73" w:rsidR="00625C17" w:rsidP="00625C17" w:rsidRDefault="00625C17" w14:paraId="57988D62" w14:textId="77777777">
      <w:pPr>
        <w:pStyle w:val="ListParagraph"/>
        <w:numPr>
          <w:ilvl w:val="0"/>
          <w:numId w:val="5"/>
        </w:numPr>
        <w:spacing w:after="120"/>
        <w:ind w:left="357" w:hanging="357"/>
        <w:rPr>
          <w:sz w:val="20"/>
          <w:szCs w:val="20"/>
        </w:rPr>
      </w:pPr>
      <w:r w:rsidRPr="00555B73">
        <w:rPr>
          <w:b/>
          <w:sz w:val="20"/>
          <w:szCs w:val="20"/>
        </w:rPr>
        <w:t>Build on existing systems</w:t>
      </w:r>
      <w:r w:rsidRPr="00555B73">
        <w:rPr>
          <w:sz w:val="20"/>
          <w:szCs w:val="20"/>
        </w:rPr>
        <w:t xml:space="preserve"> and avoid creating parallel systems wherever possible. </w:t>
      </w:r>
    </w:p>
    <w:p w:rsidRPr="00555B73" w:rsidR="00625C17" w:rsidP="00625C17" w:rsidRDefault="00625C17" w14:paraId="1274DA59" w14:textId="4F3AA76D">
      <w:pPr>
        <w:pStyle w:val="ListParagraph"/>
        <w:numPr>
          <w:ilvl w:val="0"/>
          <w:numId w:val="5"/>
        </w:numPr>
        <w:spacing w:after="120"/>
        <w:ind w:left="357" w:hanging="357"/>
        <w:rPr>
          <w:sz w:val="20"/>
          <w:szCs w:val="20"/>
        </w:rPr>
      </w:pPr>
      <w:r w:rsidRPr="00555B73">
        <w:rPr>
          <w:b/>
          <w:sz w:val="20"/>
          <w:szCs w:val="20"/>
        </w:rPr>
        <w:t>Identify and focus on areas of high transmission and/or high risk</w:t>
      </w:r>
      <w:r w:rsidRPr="00555B73">
        <w:rPr>
          <w:sz w:val="20"/>
          <w:szCs w:val="20"/>
        </w:rPr>
        <w:t xml:space="preserve">: COVID-19 is likely to spread most quickly in densely populated urban areas, and more slowly in sparsely populated areas. Measures should be targeted to where they will have greatest impact. </w:t>
      </w:r>
    </w:p>
    <w:p w:rsidRPr="00555B73" w:rsidR="00625C17" w:rsidP="00625C17" w:rsidRDefault="00625C17" w14:paraId="27E93178" w14:textId="77777777">
      <w:pPr>
        <w:pStyle w:val="ListParagraph"/>
        <w:numPr>
          <w:ilvl w:val="0"/>
          <w:numId w:val="5"/>
        </w:numPr>
        <w:spacing w:after="120"/>
        <w:ind w:left="357" w:hanging="357"/>
        <w:rPr>
          <w:sz w:val="20"/>
          <w:szCs w:val="20"/>
        </w:rPr>
      </w:pPr>
      <w:r w:rsidRPr="00555B73">
        <w:rPr>
          <w:b/>
          <w:sz w:val="20"/>
          <w:szCs w:val="20"/>
        </w:rPr>
        <w:t>Use data to target escalation and de-escalation of measures</w:t>
      </w:r>
      <w:r w:rsidRPr="00555B73">
        <w:rPr>
          <w:sz w:val="20"/>
          <w:szCs w:val="20"/>
        </w:rPr>
        <w:t xml:space="preserve"> to maximise the effect on disease control and minimise indirect impacts – through building stronger data systems where possible that disaggregate data to allow clearer targeting of the response and recovery. </w:t>
      </w:r>
    </w:p>
    <w:p w:rsidRPr="00555B73" w:rsidR="00625C17" w:rsidP="00625C17" w:rsidRDefault="00625C17" w14:paraId="381B97B8" w14:textId="77777777">
      <w:pPr>
        <w:pStyle w:val="ListParagraph"/>
        <w:numPr>
          <w:ilvl w:val="0"/>
          <w:numId w:val="5"/>
        </w:numPr>
        <w:spacing w:after="120"/>
        <w:ind w:left="357" w:hanging="357"/>
        <w:rPr>
          <w:sz w:val="20"/>
          <w:szCs w:val="20"/>
        </w:rPr>
      </w:pPr>
      <w:r w:rsidRPr="00555B73">
        <w:rPr>
          <w:b/>
          <w:sz w:val="20"/>
          <w:szCs w:val="20"/>
        </w:rPr>
        <w:t>Coordinate approaches with all relevant partners, led by government</w:t>
      </w:r>
      <w:r w:rsidRPr="00555B73">
        <w:rPr>
          <w:sz w:val="20"/>
          <w:szCs w:val="20"/>
        </w:rPr>
        <w:t xml:space="preserve">: including humanitarian agencies and local and nationally representative rights organisations to ensure key groups are reached. </w:t>
      </w:r>
    </w:p>
    <w:p w:rsidRPr="00555B73" w:rsidR="00625C17" w:rsidP="00625C17" w:rsidRDefault="00625C17" w14:paraId="1598407E" w14:textId="3D3CECB6">
      <w:pPr>
        <w:pStyle w:val="ListParagraph"/>
        <w:numPr>
          <w:ilvl w:val="0"/>
          <w:numId w:val="5"/>
        </w:numPr>
        <w:spacing w:after="120"/>
        <w:ind w:left="357" w:hanging="357"/>
        <w:rPr>
          <w:sz w:val="20"/>
          <w:szCs w:val="20"/>
        </w:rPr>
      </w:pPr>
      <w:r w:rsidRPr="6410C80E">
        <w:rPr>
          <w:b/>
          <w:bCs/>
          <w:sz w:val="20"/>
          <w:szCs w:val="20"/>
        </w:rPr>
        <w:t>Prioritise inclusion</w:t>
      </w:r>
      <w:r w:rsidRPr="6410C80E">
        <w:rPr>
          <w:sz w:val="20"/>
          <w:szCs w:val="20"/>
        </w:rPr>
        <w:t xml:space="preserve"> including women alongside men, people with disabilities, older people, and the poorest and most marginalised communities. This is critical to leaving no one behind, but also to controlling the pandemic as failure to reach these groups will allow the disease to continue spreading.</w:t>
      </w:r>
    </w:p>
    <w:p w:rsidR="00B36713" w:rsidP="00B36713" w:rsidRDefault="002D72DB" w14:paraId="06AE39D6" w14:textId="35BFFEF7">
      <w:pPr>
        <w:pStyle w:val="ListParagraph"/>
        <w:numPr>
          <w:ilvl w:val="0"/>
          <w:numId w:val="5"/>
        </w:numPr>
        <w:spacing w:after="120"/>
        <w:ind w:left="357" w:hanging="357"/>
        <w:rPr>
          <w:sz w:val="20"/>
          <w:szCs w:val="20"/>
        </w:rPr>
      </w:pPr>
      <w:r>
        <w:rPr>
          <w:b/>
          <w:bCs/>
          <w:sz w:val="20"/>
          <w:szCs w:val="20"/>
        </w:rPr>
        <w:t>Global innovation flow</w:t>
      </w:r>
      <w:r w:rsidR="006015AC">
        <w:rPr>
          <w:sz w:val="20"/>
          <w:szCs w:val="20"/>
        </w:rPr>
        <w:t>: encourage creativity, innovation and resourcefulness</w:t>
      </w:r>
      <w:r w:rsidR="003B3C51">
        <w:rPr>
          <w:sz w:val="20"/>
          <w:szCs w:val="20"/>
        </w:rPr>
        <w:t xml:space="preserve"> in the face of resource constraint</w:t>
      </w:r>
      <w:r w:rsidR="001357D6">
        <w:rPr>
          <w:sz w:val="20"/>
          <w:szCs w:val="20"/>
        </w:rPr>
        <w:t xml:space="preserve"> via bi-directional learning.</w:t>
      </w:r>
    </w:p>
    <w:p w:rsidRPr="00183F4B" w:rsidR="00B36713" w:rsidP="00183F4B" w:rsidRDefault="00B36713" w14:paraId="21A512B6" w14:textId="621FCD65">
      <w:pPr>
        <w:spacing w:after="120"/>
        <w:rPr>
          <w:sz w:val="20"/>
          <w:szCs w:val="20"/>
        </w:rPr>
      </w:pPr>
      <w:r>
        <w:rPr>
          <w:sz w:val="20"/>
          <w:szCs w:val="20"/>
        </w:rPr>
        <w:t xml:space="preserve">All interventions should </w:t>
      </w:r>
      <w:r w:rsidR="00D76844">
        <w:rPr>
          <w:sz w:val="20"/>
          <w:szCs w:val="20"/>
        </w:rPr>
        <w:t xml:space="preserve">align with national governments plans and priorities and support </w:t>
      </w:r>
      <w:r w:rsidR="00995132">
        <w:rPr>
          <w:sz w:val="20"/>
          <w:szCs w:val="20"/>
        </w:rPr>
        <w:t>the COVID</w:t>
      </w:r>
      <w:r w:rsidR="00FB2D70">
        <w:rPr>
          <w:sz w:val="20"/>
          <w:szCs w:val="20"/>
        </w:rPr>
        <w:t>-19</w:t>
      </w:r>
      <w:r w:rsidR="00995132">
        <w:rPr>
          <w:sz w:val="20"/>
          <w:szCs w:val="20"/>
        </w:rPr>
        <w:t xml:space="preserve"> response through collaboration with the relevant </w:t>
      </w:r>
      <w:r w:rsidR="00F30E99">
        <w:rPr>
          <w:sz w:val="20"/>
          <w:szCs w:val="20"/>
        </w:rPr>
        <w:t>Ministry of Health.</w:t>
      </w:r>
      <w:r w:rsidR="00D76844">
        <w:rPr>
          <w:sz w:val="20"/>
          <w:szCs w:val="20"/>
        </w:rPr>
        <w:t xml:space="preserve"> </w:t>
      </w:r>
    </w:p>
    <w:p w:rsidRPr="00625C17" w:rsidR="00625C17" w:rsidP="00625C17" w:rsidRDefault="00625C17" w14:paraId="0879D3DA" w14:textId="77777777">
      <w:pPr>
        <w:rPr>
          <w:b/>
          <w:bCs/>
          <w:sz w:val="20"/>
          <w:szCs w:val="20"/>
        </w:rPr>
      </w:pPr>
      <w:r w:rsidRPr="00625C17">
        <w:rPr>
          <w:b/>
          <w:bCs/>
          <w:sz w:val="20"/>
          <w:szCs w:val="20"/>
        </w:rPr>
        <w:t xml:space="preserve">Examples of acceptable uses of funding    </w:t>
      </w:r>
    </w:p>
    <w:p w:rsidRPr="00555B73" w:rsidR="00625C17" w:rsidP="00625C17" w:rsidRDefault="00625C17" w14:paraId="15D8A9AA" w14:textId="69E32A57">
      <w:pPr>
        <w:rPr>
          <w:sz w:val="20"/>
          <w:szCs w:val="20"/>
        </w:rPr>
      </w:pPr>
      <w:r w:rsidRPr="00555B73">
        <w:rPr>
          <w:sz w:val="20"/>
          <w:szCs w:val="20"/>
        </w:rPr>
        <w:t xml:space="preserve">The table below shows a few examples of possible funding options. These aim to be a starting point for partnerships to think about the type of </w:t>
      </w:r>
      <w:r w:rsidR="00F54450">
        <w:rPr>
          <w:sz w:val="20"/>
          <w:szCs w:val="20"/>
        </w:rPr>
        <w:t>project/intervention</w:t>
      </w:r>
      <w:r w:rsidRPr="00555B73" w:rsidR="00F54450">
        <w:rPr>
          <w:sz w:val="20"/>
          <w:szCs w:val="20"/>
        </w:rPr>
        <w:t xml:space="preserve"> </w:t>
      </w:r>
      <w:r w:rsidRPr="00555B73">
        <w:rPr>
          <w:sz w:val="20"/>
          <w:szCs w:val="20"/>
        </w:rPr>
        <w:t>they could apply for funding support</w:t>
      </w:r>
      <w:r w:rsidR="003A17E9">
        <w:rPr>
          <w:sz w:val="20"/>
          <w:szCs w:val="20"/>
        </w:rPr>
        <w:t xml:space="preserve"> for</w:t>
      </w:r>
      <w:r w:rsidRPr="00555B73">
        <w:rPr>
          <w:sz w:val="20"/>
          <w:szCs w:val="20"/>
        </w:rPr>
        <w:t xml:space="preserve"> and </w:t>
      </w:r>
      <w:r w:rsidR="007C6739">
        <w:rPr>
          <w:sz w:val="20"/>
          <w:szCs w:val="20"/>
        </w:rPr>
        <w:t xml:space="preserve">is </w:t>
      </w:r>
      <w:r w:rsidRPr="00555B73">
        <w:rPr>
          <w:sz w:val="20"/>
          <w:szCs w:val="20"/>
        </w:rPr>
        <w:t>not an exhaustive list. We would expect to see these</w:t>
      </w:r>
      <w:r w:rsidR="0074290B">
        <w:rPr>
          <w:sz w:val="20"/>
          <w:szCs w:val="20"/>
        </w:rPr>
        <w:t xml:space="preserve"> options to</w:t>
      </w:r>
      <w:r w:rsidRPr="00555B73">
        <w:rPr>
          <w:sz w:val="20"/>
          <w:szCs w:val="20"/>
        </w:rPr>
        <w:t xml:space="preserve"> develop as we learn more about the needs, contexts, and ideas from partnerships and advisors</w:t>
      </w:r>
      <w:r w:rsidR="0074290B">
        <w:rPr>
          <w:sz w:val="20"/>
          <w:szCs w:val="20"/>
        </w:rPr>
        <w:t>.</w:t>
      </w:r>
    </w:p>
    <w:tbl>
      <w:tblPr>
        <w:tblStyle w:val="TableGrid"/>
        <w:tblW w:w="0" w:type="auto"/>
        <w:tblLook w:val="04A0" w:firstRow="1" w:lastRow="0" w:firstColumn="1" w:lastColumn="0" w:noHBand="0" w:noVBand="1"/>
      </w:tblPr>
      <w:tblGrid>
        <w:gridCol w:w="4675"/>
        <w:gridCol w:w="4675"/>
      </w:tblGrid>
      <w:tr w:rsidR="00625C17" w:rsidTr="2F86FFFF" w14:paraId="501EDF27" w14:textId="77777777">
        <w:tc>
          <w:tcPr>
            <w:tcW w:w="4675" w:type="dxa"/>
            <w:tcMar/>
          </w:tcPr>
          <w:p w:rsidR="00625C17" w:rsidP="008E30FE" w:rsidRDefault="00625C17" w14:paraId="484B7AC7" w14:textId="03BEB75E">
            <w:pPr>
              <w:rPr>
                <w:b/>
                <w:bCs/>
                <w:sz w:val="20"/>
                <w:szCs w:val="20"/>
              </w:rPr>
            </w:pPr>
            <w:r w:rsidRPr="4748632D">
              <w:rPr>
                <w:b/>
                <w:bCs/>
                <w:sz w:val="20"/>
                <w:szCs w:val="20"/>
              </w:rPr>
              <w:t xml:space="preserve">The UKPHS </w:t>
            </w:r>
            <w:r w:rsidR="00FB2D70">
              <w:rPr>
                <w:b/>
                <w:bCs/>
                <w:sz w:val="20"/>
                <w:szCs w:val="20"/>
              </w:rPr>
              <w:t>COVID</w:t>
            </w:r>
            <w:r w:rsidRPr="4748632D">
              <w:rPr>
                <w:b/>
                <w:bCs/>
                <w:sz w:val="20"/>
                <w:szCs w:val="20"/>
              </w:rPr>
              <w:t>-19 Response will fund:</w:t>
            </w:r>
          </w:p>
        </w:tc>
        <w:tc>
          <w:tcPr>
            <w:tcW w:w="4675" w:type="dxa"/>
            <w:tcMar/>
          </w:tcPr>
          <w:p w:rsidR="00625C17" w:rsidP="008E30FE" w:rsidRDefault="00625C17" w14:paraId="12B1F55E" w14:textId="7397E9F2">
            <w:pPr>
              <w:rPr>
                <w:b/>
                <w:bCs/>
                <w:sz w:val="20"/>
                <w:szCs w:val="20"/>
              </w:rPr>
            </w:pPr>
            <w:r>
              <w:rPr>
                <w:b/>
                <w:bCs/>
                <w:sz w:val="20"/>
                <w:szCs w:val="20"/>
              </w:rPr>
              <w:t>Examples of activities:</w:t>
            </w:r>
          </w:p>
        </w:tc>
      </w:tr>
      <w:tr w:rsidR="00532CD2" w:rsidTr="2F86FFFF" w14:paraId="7EA20848" w14:textId="77777777">
        <w:tc>
          <w:tcPr>
            <w:tcW w:w="4675" w:type="dxa"/>
            <w:vMerge w:val="restart"/>
            <w:tcMar/>
          </w:tcPr>
          <w:p w:rsidR="00532CD2" w:rsidP="008E30FE" w:rsidRDefault="00532CD2" w14:paraId="4B63CA5C" w14:textId="1783AF5F">
            <w:pPr>
              <w:rPr>
                <w:b/>
                <w:bCs/>
                <w:sz w:val="20"/>
                <w:szCs w:val="20"/>
              </w:rPr>
            </w:pPr>
            <w:r w:rsidRPr="008E30FE">
              <w:rPr>
                <w:b/>
                <w:bCs/>
                <w:sz w:val="20"/>
                <w:szCs w:val="20"/>
              </w:rPr>
              <w:t>Supporting Infection Prevention Control initiatives approved by the WHO</w:t>
            </w:r>
          </w:p>
        </w:tc>
        <w:tc>
          <w:tcPr>
            <w:tcW w:w="4675" w:type="dxa"/>
            <w:tcMar/>
          </w:tcPr>
          <w:p w:rsidRPr="00625C17" w:rsidR="00532CD2" w:rsidP="008E30FE" w:rsidRDefault="00532CD2" w14:paraId="4E571A8A" w14:textId="4BD28E7C">
            <w:pPr>
              <w:rPr>
                <w:sz w:val="20"/>
                <w:szCs w:val="20"/>
              </w:rPr>
            </w:pPr>
            <w:r w:rsidRPr="00625C17">
              <w:rPr>
                <w:sz w:val="20"/>
                <w:szCs w:val="20"/>
              </w:rPr>
              <w:t xml:space="preserve">Guidance on the </w:t>
            </w:r>
            <w:r>
              <w:rPr>
                <w:sz w:val="20"/>
                <w:szCs w:val="20"/>
              </w:rPr>
              <w:t>production and formulation</w:t>
            </w:r>
            <w:r w:rsidRPr="00625C17">
              <w:rPr>
                <w:sz w:val="20"/>
                <w:szCs w:val="20"/>
              </w:rPr>
              <w:t xml:space="preserve"> of </w:t>
            </w:r>
            <w:r>
              <w:rPr>
                <w:sz w:val="20"/>
                <w:szCs w:val="20"/>
              </w:rPr>
              <w:t>substances</w:t>
            </w:r>
            <w:r w:rsidRPr="00625C17">
              <w:rPr>
                <w:sz w:val="20"/>
                <w:szCs w:val="20"/>
              </w:rPr>
              <w:t xml:space="preserve"> necessary for effective IPC (e.g. soap, ingredients for making hand sanitiser etc.) approved by the WHO.</w:t>
            </w:r>
            <w:r>
              <w:rPr>
                <w:sz w:val="20"/>
                <w:szCs w:val="20"/>
              </w:rPr>
              <w:t xml:space="preserve"> Please note that this fund will </w:t>
            </w:r>
            <w:r>
              <w:rPr>
                <w:sz w:val="20"/>
                <w:szCs w:val="20"/>
                <w:u w:val="single"/>
              </w:rPr>
              <w:t>not</w:t>
            </w:r>
            <w:r>
              <w:rPr>
                <w:sz w:val="20"/>
                <w:szCs w:val="20"/>
              </w:rPr>
              <w:t xml:space="preserve"> fund the procurement of either the raw materials used to </w:t>
            </w:r>
            <w:r>
              <w:rPr>
                <w:sz w:val="20"/>
                <w:szCs w:val="20"/>
              </w:rPr>
              <w:lastRenderedPageBreak/>
              <w:t xml:space="preserve">make antibacterial substances or the substances themselves. </w:t>
            </w:r>
            <w:r w:rsidRPr="00625C17">
              <w:rPr>
                <w:sz w:val="20"/>
                <w:szCs w:val="20"/>
              </w:rPr>
              <w:t xml:space="preserve">Please also see this example project - </w:t>
            </w:r>
            <w:hyperlink w:history="1" r:id="rId9">
              <w:r w:rsidRPr="006D5436">
                <w:rPr>
                  <w:i/>
                  <w:iCs/>
                  <w:color w:val="4472C4" w:themeColor="accent1"/>
                  <w:sz w:val="20"/>
                  <w:szCs w:val="20"/>
                  <w:u w:val="single"/>
                </w:rPr>
                <w:t>Targeted placement of alcohol-based hand rubs, Ndola, Zambia</w:t>
              </w:r>
            </w:hyperlink>
          </w:p>
        </w:tc>
      </w:tr>
      <w:tr w:rsidR="00532CD2" w:rsidTr="2F86FFFF" w14:paraId="4A37F66F" w14:textId="77777777">
        <w:tc>
          <w:tcPr>
            <w:tcW w:w="4675" w:type="dxa"/>
            <w:vMerge/>
            <w:tcMar/>
          </w:tcPr>
          <w:p w:rsidR="00532CD2" w:rsidP="008E30FE" w:rsidRDefault="00532CD2" w14:paraId="220BAB5B" w14:textId="77777777">
            <w:pPr>
              <w:rPr>
                <w:b/>
                <w:bCs/>
                <w:sz w:val="20"/>
                <w:szCs w:val="20"/>
              </w:rPr>
            </w:pPr>
          </w:p>
        </w:tc>
        <w:tc>
          <w:tcPr>
            <w:tcW w:w="4675" w:type="dxa"/>
            <w:tcMar/>
          </w:tcPr>
          <w:p w:rsidRPr="00625C17" w:rsidR="00532CD2" w:rsidP="008E30FE" w:rsidRDefault="00532CD2" w14:paraId="34B977DC" w14:textId="3F3EF11A">
            <w:pPr>
              <w:rPr>
                <w:sz w:val="20"/>
                <w:szCs w:val="20"/>
              </w:rPr>
            </w:pPr>
            <w:r w:rsidRPr="00625C17">
              <w:rPr>
                <w:sz w:val="20"/>
                <w:szCs w:val="20"/>
              </w:rPr>
              <w:t>Train</w:t>
            </w:r>
            <w:r>
              <w:rPr>
                <w:sz w:val="20"/>
                <w:szCs w:val="20"/>
              </w:rPr>
              <w:t>ing</w:t>
            </w:r>
            <w:r w:rsidRPr="00625C17">
              <w:rPr>
                <w:sz w:val="20"/>
                <w:szCs w:val="20"/>
              </w:rPr>
              <w:t xml:space="preserve"> health and humanitarian workers on PPE use and core measures (e.g. handwashing, cleaning of surfaces and equipment, waste management, bed spacing, ventilation, and early recognition and case isolation)</w:t>
            </w:r>
          </w:p>
        </w:tc>
      </w:tr>
      <w:tr w:rsidR="00532CD2" w:rsidTr="2F86FFFF" w14:paraId="08012F98" w14:textId="77777777">
        <w:tc>
          <w:tcPr>
            <w:tcW w:w="4675" w:type="dxa"/>
            <w:vMerge/>
            <w:tcMar/>
          </w:tcPr>
          <w:p w:rsidR="00532CD2" w:rsidP="008E30FE" w:rsidRDefault="00532CD2" w14:paraId="28B65B09" w14:textId="77777777">
            <w:pPr>
              <w:rPr>
                <w:b/>
                <w:bCs/>
                <w:sz w:val="20"/>
                <w:szCs w:val="20"/>
              </w:rPr>
            </w:pPr>
          </w:p>
        </w:tc>
        <w:tc>
          <w:tcPr>
            <w:tcW w:w="4675" w:type="dxa"/>
            <w:tcMar/>
          </w:tcPr>
          <w:p w:rsidRPr="00625C17" w:rsidR="00532CD2" w:rsidP="008E30FE" w:rsidRDefault="00532CD2" w14:paraId="76CF4118" w14:textId="3901CAB8">
            <w:pPr>
              <w:rPr>
                <w:sz w:val="20"/>
                <w:szCs w:val="20"/>
              </w:rPr>
            </w:pPr>
            <w:r>
              <w:rPr>
                <w:sz w:val="20"/>
                <w:szCs w:val="20"/>
              </w:rPr>
              <w:t>Implementation of procedures for</w:t>
            </w:r>
            <w:r w:rsidRPr="00625C17">
              <w:rPr>
                <w:sz w:val="20"/>
                <w:szCs w:val="20"/>
              </w:rPr>
              <w:t xml:space="preserve"> screening for all patients at point of first contact with health services, separate waiting areas (with medical masks), and if admitted keep in separate wards (including maternity units) ideally with a designated team of health workers.</w:t>
            </w:r>
          </w:p>
        </w:tc>
      </w:tr>
      <w:tr w:rsidR="00532CD2" w:rsidTr="2F86FFFF" w14:paraId="652176FB" w14:textId="77777777">
        <w:tc>
          <w:tcPr>
            <w:tcW w:w="4675" w:type="dxa"/>
            <w:vMerge/>
            <w:tcMar/>
          </w:tcPr>
          <w:p w:rsidR="00532CD2" w:rsidP="008E30FE" w:rsidRDefault="00532CD2" w14:paraId="5FF5CD0D" w14:textId="77777777">
            <w:pPr>
              <w:rPr>
                <w:b/>
                <w:bCs/>
                <w:sz w:val="20"/>
                <w:szCs w:val="20"/>
              </w:rPr>
            </w:pPr>
          </w:p>
        </w:tc>
        <w:tc>
          <w:tcPr>
            <w:tcW w:w="4675" w:type="dxa"/>
            <w:tcMar/>
          </w:tcPr>
          <w:p w:rsidRPr="00625C17" w:rsidR="00532CD2" w:rsidP="008E30FE" w:rsidRDefault="00532CD2" w14:paraId="73C8458F" w14:textId="4796DA75">
            <w:pPr>
              <w:rPr>
                <w:sz w:val="20"/>
                <w:szCs w:val="20"/>
              </w:rPr>
            </w:pPr>
            <w:r w:rsidRPr="00625C17">
              <w:rPr>
                <w:sz w:val="20"/>
                <w:szCs w:val="20"/>
              </w:rPr>
              <w:t>Signs for patients' rooms, labelled bins for disposing of contaminated equipment etc.</w:t>
            </w:r>
          </w:p>
        </w:tc>
      </w:tr>
      <w:tr w:rsidR="00532CD2" w:rsidTr="2F86FFFF" w14:paraId="115EDD0B" w14:textId="77777777">
        <w:tc>
          <w:tcPr>
            <w:tcW w:w="4675" w:type="dxa"/>
            <w:vMerge/>
            <w:tcMar/>
          </w:tcPr>
          <w:p w:rsidR="00532CD2" w:rsidP="008E30FE" w:rsidRDefault="00532CD2" w14:paraId="4FDE7B16" w14:textId="77777777">
            <w:pPr>
              <w:rPr>
                <w:b/>
                <w:bCs/>
                <w:sz w:val="20"/>
                <w:szCs w:val="20"/>
              </w:rPr>
            </w:pPr>
          </w:p>
        </w:tc>
        <w:tc>
          <w:tcPr>
            <w:tcW w:w="4675" w:type="dxa"/>
            <w:tcMar/>
          </w:tcPr>
          <w:p w:rsidRPr="00625C17" w:rsidR="00532CD2" w:rsidP="008E30FE" w:rsidRDefault="00532CD2" w14:paraId="2524D728" w14:textId="446E2E95">
            <w:pPr>
              <w:rPr>
                <w:sz w:val="20"/>
                <w:szCs w:val="20"/>
              </w:rPr>
            </w:pPr>
            <w:r w:rsidRPr="00625C17">
              <w:rPr>
                <w:sz w:val="20"/>
                <w:szCs w:val="20"/>
              </w:rPr>
              <w:t>Promote positive behaviours to reduce transmission empowering individuals to protect themselves e.g. handwashing with soap, coughing into elbows, avoiding touching eyes / nose / mouth, no hand-shaking, staying 1m apart. Use Behaviour Change Communication principles</w:t>
            </w:r>
          </w:p>
        </w:tc>
      </w:tr>
      <w:tr w:rsidR="00532CD2" w:rsidTr="2F86FFFF" w14:paraId="76701436" w14:textId="77777777">
        <w:tc>
          <w:tcPr>
            <w:tcW w:w="4675" w:type="dxa"/>
            <w:vMerge/>
            <w:tcMar/>
          </w:tcPr>
          <w:p w:rsidR="00532CD2" w:rsidP="008E30FE" w:rsidRDefault="00532CD2" w14:paraId="6C39F79E" w14:textId="77777777">
            <w:pPr>
              <w:rPr>
                <w:b/>
                <w:bCs/>
                <w:sz w:val="20"/>
                <w:szCs w:val="20"/>
              </w:rPr>
            </w:pPr>
          </w:p>
        </w:tc>
        <w:tc>
          <w:tcPr>
            <w:tcW w:w="4675" w:type="dxa"/>
            <w:tcMar/>
          </w:tcPr>
          <w:p w:rsidRPr="00625C17" w:rsidR="00532CD2" w:rsidP="008E30FE" w:rsidRDefault="00532CD2" w14:paraId="06DD64C9" w14:textId="6A420E10">
            <w:pPr>
              <w:rPr>
                <w:sz w:val="20"/>
                <w:szCs w:val="20"/>
              </w:rPr>
            </w:pPr>
            <w:r>
              <w:rPr>
                <w:sz w:val="20"/>
                <w:szCs w:val="20"/>
              </w:rPr>
              <w:t>Occupational health initiatives such as developing cleaning protocols and ensuring ventilation of sites</w:t>
            </w:r>
          </w:p>
        </w:tc>
      </w:tr>
      <w:tr w:rsidR="00E23DEA" w:rsidTr="2F86FFFF" w14:paraId="0FA1D81C" w14:textId="77777777">
        <w:tc>
          <w:tcPr>
            <w:tcW w:w="4675" w:type="dxa"/>
            <w:vMerge w:val="restart"/>
            <w:tcMar/>
          </w:tcPr>
          <w:p w:rsidR="00E23DEA" w:rsidP="008E30FE" w:rsidRDefault="00E23DEA" w14:paraId="7F52BBB8" w14:textId="307B5F64">
            <w:pPr>
              <w:rPr>
                <w:b/>
                <w:bCs/>
                <w:sz w:val="20"/>
                <w:szCs w:val="20"/>
              </w:rPr>
            </w:pPr>
            <w:r w:rsidRPr="00625C17">
              <w:rPr>
                <w:b/>
                <w:bCs/>
                <w:sz w:val="20"/>
                <w:szCs w:val="20"/>
              </w:rPr>
              <w:t>Remote training, mentoring and supervision on responding to COVID-19</w:t>
            </w:r>
          </w:p>
        </w:tc>
        <w:tc>
          <w:tcPr>
            <w:tcW w:w="4675" w:type="dxa"/>
            <w:tcMar/>
          </w:tcPr>
          <w:p w:rsidRPr="00625C17" w:rsidR="00E23DEA" w:rsidP="008E30FE" w:rsidRDefault="2027BD84" w14:paraId="23F8820C" w14:textId="29B85882">
            <w:pPr>
              <w:rPr>
                <w:sz w:val="20"/>
                <w:szCs w:val="20"/>
              </w:rPr>
            </w:pPr>
            <w:r w:rsidRPr="5D0CA39B">
              <w:rPr>
                <w:sz w:val="20"/>
                <w:szCs w:val="20"/>
              </w:rPr>
              <w:t>Training o</w:t>
            </w:r>
            <w:r w:rsidR="00193EFF">
              <w:rPr>
                <w:sz w:val="20"/>
                <w:szCs w:val="20"/>
              </w:rPr>
              <w:t>n</w:t>
            </w:r>
            <w:r w:rsidRPr="5D0CA39B">
              <w:rPr>
                <w:sz w:val="20"/>
                <w:szCs w:val="20"/>
              </w:rPr>
              <w:t xml:space="preserve"> case management and correct handling of patients infected with </w:t>
            </w:r>
            <w:r w:rsidRPr="5D0CA39B" w:rsidR="26463890">
              <w:rPr>
                <w:sz w:val="20"/>
                <w:szCs w:val="20"/>
              </w:rPr>
              <w:t>COVID</w:t>
            </w:r>
            <w:r w:rsidRPr="5D0CA39B">
              <w:rPr>
                <w:sz w:val="20"/>
                <w:szCs w:val="20"/>
              </w:rPr>
              <w:t>-19</w:t>
            </w:r>
          </w:p>
        </w:tc>
      </w:tr>
      <w:tr w:rsidR="00E23DEA" w:rsidTr="2F86FFFF" w14:paraId="44F23488" w14:textId="77777777">
        <w:tc>
          <w:tcPr>
            <w:tcW w:w="4675" w:type="dxa"/>
            <w:vMerge/>
            <w:tcMar/>
          </w:tcPr>
          <w:p w:rsidRPr="00625C17" w:rsidR="00E23DEA" w:rsidP="008E30FE" w:rsidRDefault="00E23DEA" w14:paraId="2CBF0EEC" w14:textId="77777777">
            <w:pPr>
              <w:rPr>
                <w:b/>
                <w:bCs/>
                <w:sz w:val="20"/>
                <w:szCs w:val="20"/>
              </w:rPr>
            </w:pPr>
          </w:p>
        </w:tc>
        <w:tc>
          <w:tcPr>
            <w:tcW w:w="4675" w:type="dxa"/>
            <w:tcMar/>
          </w:tcPr>
          <w:p w:rsidR="00E23DEA" w:rsidP="008E30FE" w:rsidRDefault="00E23DEA" w14:paraId="38AC4C27" w14:textId="40DCB7A0">
            <w:pPr>
              <w:rPr>
                <w:sz w:val="20"/>
                <w:szCs w:val="20"/>
              </w:rPr>
            </w:pPr>
            <w:r w:rsidRPr="00E23DEA">
              <w:rPr>
                <w:sz w:val="20"/>
                <w:szCs w:val="20"/>
              </w:rPr>
              <w:t>Translating guidance and trainings into practice for the local context</w:t>
            </w:r>
          </w:p>
        </w:tc>
      </w:tr>
      <w:tr w:rsidR="00E85DC2" w:rsidTr="2F86FFFF" w14:paraId="47903E73" w14:textId="77777777">
        <w:tc>
          <w:tcPr>
            <w:tcW w:w="4675" w:type="dxa"/>
            <w:vMerge/>
            <w:tcMar/>
          </w:tcPr>
          <w:p w:rsidRPr="00625C17" w:rsidR="00E85DC2" w:rsidP="00E85DC2" w:rsidRDefault="00E85DC2" w14:paraId="456566B2" w14:textId="77777777">
            <w:pPr>
              <w:rPr>
                <w:b/>
                <w:bCs/>
                <w:sz w:val="20"/>
                <w:szCs w:val="20"/>
              </w:rPr>
            </w:pPr>
          </w:p>
        </w:tc>
        <w:tc>
          <w:tcPr>
            <w:tcW w:w="4675" w:type="dxa"/>
            <w:tcMar/>
          </w:tcPr>
          <w:p w:rsidRPr="00E23DEA" w:rsidR="00E85DC2" w:rsidP="00E85DC2" w:rsidRDefault="00E85DC2" w14:paraId="5E2188F6" w14:textId="1D7045FC">
            <w:pPr>
              <w:rPr>
                <w:sz w:val="20"/>
                <w:szCs w:val="20"/>
              </w:rPr>
            </w:pPr>
            <w:r w:rsidRPr="00183F4B">
              <w:rPr>
                <w:sz w:val="20"/>
                <w:szCs w:val="20"/>
              </w:rPr>
              <w:t xml:space="preserve">Repackaging materials for communities in local languages and for illiterate populations </w:t>
            </w:r>
          </w:p>
        </w:tc>
      </w:tr>
      <w:tr w:rsidR="00E23DEA" w:rsidTr="2F86FFFF" w14:paraId="63E5DF01" w14:textId="77777777">
        <w:tc>
          <w:tcPr>
            <w:tcW w:w="4675" w:type="dxa"/>
            <w:vMerge/>
            <w:tcMar/>
          </w:tcPr>
          <w:p w:rsidRPr="00625C17" w:rsidR="00E23DEA" w:rsidP="008E30FE" w:rsidRDefault="00E23DEA" w14:paraId="70220E3F" w14:textId="77777777">
            <w:pPr>
              <w:rPr>
                <w:b/>
                <w:bCs/>
                <w:sz w:val="20"/>
                <w:szCs w:val="20"/>
              </w:rPr>
            </w:pPr>
          </w:p>
        </w:tc>
        <w:tc>
          <w:tcPr>
            <w:tcW w:w="4675" w:type="dxa"/>
            <w:tcMar/>
          </w:tcPr>
          <w:p w:rsidRPr="00E23DEA" w:rsidR="00E23DEA" w:rsidP="008E30FE" w:rsidRDefault="00E23DEA" w14:paraId="65896B4A" w14:textId="683D93A6">
            <w:pPr>
              <w:rPr>
                <w:sz w:val="20"/>
                <w:szCs w:val="20"/>
              </w:rPr>
            </w:pPr>
            <w:r>
              <w:rPr>
                <w:sz w:val="20"/>
                <w:szCs w:val="20"/>
              </w:rPr>
              <w:t>Providing platforms for remote training sessions to take place</w:t>
            </w:r>
          </w:p>
        </w:tc>
      </w:tr>
      <w:tr w:rsidR="00DE568F" w:rsidTr="2F86FFFF" w14:paraId="65559EB2" w14:textId="77777777">
        <w:tc>
          <w:tcPr>
            <w:tcW w:w="4675" w:type="dxa"/>
            <w:vMerge w:val="restart"/>
            <w:tcMar/>
          </w:tcPr>
          <w:p w:rsidR="00DE568F" w:rsidP="008E30FE" w:rsidRDefault="00DE568F" w14:paraId="4EEC642A" w14:textId="3DADA82A">
            <w:pPr>
              <w:rPr>
                <w:b/>
                <w:bCs/>
                <w:sz w:val="20"/>
                <w:szCs w:val="20"/>
              </w:rPr>
            </w:pPr>
            <w:r w:rsidRPr="007D2757">
              <w:rPr>
                <w:b/>
                <w:bCs/>
                <w:sz w:val="20"/>
                <w:szCs w:val="20"/>
              </w:rPr>
              <w:t>Supporting appropriate surveillance and data collection related to COVID-19</w:t>
            </w:r>
          </w:p>
        </w:tc>
        <w:tc>
          <w:tcPr>
            <w:tcW w:w="4675" w:type="dxa"/>
            <w:tcMar/>
          </w:tcPr>
          <w:p w:rsidRPr="00625C17" w:rsidR="00DE568F" w:rsidP="008E30FE" w:rsidRDefault="00DE568F" w14:paraId="5DCB8FB9" w14:textId="6524D219">
            <w:pPr>
              <w:rPr>
                <w:sz w:val="20"/>
                <w:szCs w:val="20"/>
              </w:rPr>
            </w:pPr>
            <w:r w:rsidRPr="007D2757">
              <w:rPr>
                <w:sz w:val="20"/>
                <w:szCs w:val="20"/>
              </w:rPr>
              <w:t xml:space="preserve">Capacity development in clinical data collection, reporting, analysis, and modelling to better evaluate the situation and </w:t>
            </w:r>
            <w:r w:rsidR="00564D96">
              <w:rPr>
                <w:sz w:val="20"/>
                <w:szCs w:val="20"/>
              </w:rPr>
              <w:t>changing contexts</w:t>
            </w:r>
          </w:p>
        </w:tc>
      </w:tr>
      <w:tr w:rsidR="00DE568F" w:rsidTr="2F86FFFF" w14:paraId="1CD16B84" w14:textId="77777777">
        <w:tc>
          <w:tcPr>
            <w:tcW w:w="4675" w:type="dxa"/>
            <w:vMerge/>
            <w:tcMar/>
          </w:tcPr>
          <w:p w:rsidRPr="007D2757" w:rsidR="00DE568F" w:rsidP="008E30FE" w:rsidRDefault="00DE568F" w14:paraId="6288A076" w14:textId="77777777">
            <w:pPr>
              <w:rPr>
                <w:b/>
                <w:bCs/>
                <w:sz w:val="20"/>
                <w:szCs w:val="20"/>
              </w:rPr>
            </w:pPr>
          </w:p>
        </w:tc>
        <w:tc>
          <w:tcPr>
            <w:tcW w:w="4675" w:type="dxa"/>
            <w:tcMar/>
          </w:tcPr>
          <w:p w:rsidRPr="007D2757" w:rsidR="00DE568F" w:rsidP="008E30FE" w:rsidRDefault="4B920912" w14:paraId="2E80C34F" w14:textId="0D3FBC68">
            <w:pPr>
              <w:rPr>
                <w:sz w:val="20"/>
                <w:szCs w:val="20"/>
              </w:rPr>
            </w:pPr>
            <w:r w:rsidRPr="5D0CA39B">
              <w:rPr>
                <w:sz w:val="20"/>
                <w:szCs w:val="20"/>
              </w:rPr>
              <w:t xml:space="preserve">Support the collection and analysis of sex and gender disaggregated data related to </w:t>
            </w:r>
            <w:r w:rsidRPr="5D0CA39B" w:rsidR="12C4F1C7">
              <w:rPr>
                <w:sz w:val="20"/>
                <w:szCs w:val="20"/>
              </w:rPr>
              <w:t>COVID</w:t>
            </w:r>
            <w:r w:rsidRPr="5D0CA39B">
              <w:rPr>
                <w:sz w:val="20"/>
                <w:szCs w:val="20"/>
              </w:rPr>
              <w:t>-19</w:t>
            </w:r>
          </w:p>
        </w:tc>
      </w:tr>
      <w:tr w:rsidR="00DE568F" w:rsidTr="2F86FFFF" w14:paraId="4F4608D4" w14:textId="77777777">
        <w:tc>
          <w:tcPr>
            <w:tcW w:w="4675" w:type="dxa"/>
            <w:vMerge/>
            <w:tcMar/>
          </w:tcPr>
          <w:p w:rsidRPr="007D2757" w:rsidR="00DE568F" w:rsidP="008E30FE" w:rsidRDefault="00DE568F" w14:paraId="75698575" w14:textId="77777777">
            <w:pPr>
              <w:rPr>
                <w:b/>
                <w:bCs/>
                <w:sz w:val="20"/>
                <w:szCs w:val="20"/>
              </w:rPr>
            </w:pPr>
          </w:p>
        </w:tc>
        <w:tc>
          <w:tcPr>
            <w:tcW w:w="4675" w:type="dxa"/>
            <w:tcMar/>
          </w:tcPr>
          <w:p w:rsidRPr="007D2757" w:rsidR="00DE568F" w:rsidP="008E30FE" w:rsidRDefault="00DE568F" w14:paraId="6C31D85B" w14:textId="2F1619C2">
            <w:pPr>
              <w:rPr>
                <w:sz w:val="20"/>
                <w:szCs w:val="20"/>
              </w:rPr>
            </w:pPr>
            <w:r>
              <w:rPr>
                <w:sz w:val="20"/>
                <w:szCs w:val="20"/>
              </w:rPr>
              <w:t>C</w:t>
            </w:r>
            <w:r w:rsidRPr="007D2757">
              <w:rPr>
                <w:sz w:val="20"/>
                <w:szCs w:val="20"/>
              </w:rPr>
              <w:t xml:space="preserve">onduct a </w:t>
            </w:r>
            <w:r w:rsidR="004C29C7">
              <w:rPr>
                <w:sz w:val="20"/>
                <w:szCs w:val="20"/>
              </w:rPr>
              <w:t xml:space="preserve">population </w:t>
            </w:r>
            <w:r w:rsidRPr="007D2757">
              <w:rPr>
                <w:sz w:val="20"/>
                <w:szCs w:val="20"/>
              </w:rPr>
              <w:t xml:space="preserve">analysis of </w:t>
            </w:r>
            <w:r w:rsidR="004C29C7">
              <w:rPr>
                <w:sz w:val="20"/>
                <w:szCs w:val="20"/>
              </w:rPr>
              <w:t>COVID</w:t>
            </w:r>
            <w:r w:rsidRPr="007D2757">
              <w:rPr>
                <w:sz w:val="20"/>
                <w:szCs w:val="20"/>
              </w:rPr>
              <w:t xml:space="preserve">-19 </w:t>
            </w:r>
            <w:r w:rsidR="004C29C7">
              <w:rPr>
                <w:sz w:val="20"/>
                <w:szCs w:val="20"/>
              </w:rPr>
              <w:t xml:space="preserve">cases </w:t>
            </w:r>
            <w:r w:rsidRPr="007D2757">
              <w:rPr>
                <w:sz w:val="20"/>
                <w:szCs w:val="20"/>
              </w:rPr>
              <w:t>to inform planning and response, including both primary short-term and long-term impacts</w:t>
            </w:r>
          </w:p>
        </w:tc>
      </w:tr>
      <w:tr w:rsidR="00DE568F" w:rsidTr="2F86FFFF" w14:paraId="6E9B763F" w14:textId="77777777">
        <w:tc>
          <w:tcPr>
            <w:tcW w:w="4675" w:type="dxa"/>
            <w:vMerge/>
            <w:tcMar/>
          </w:tcPr>
          <w:p w:rsidRPr="007D2757" w:rsidR="00DE568F" w:rsidP="008E30FE" w:rsidRDefault="00DE568F" w14:paraId="1321DC83" w14:textId="77777777">
            <w:pPr>
              <w:rPr>
                <w:b/>
                <w:bCs/>
                <w:sz w:val="20"/>
                <w:szCs w:val="20"/>
              </w:rPr>
            </w:pPr>
          </w:p>
        </w:tc>
        <w:tc>
          <w:tcPr>
            <w:tcW w:w="4675" w:type="dxa"/>
            <w:tcMar/>
          </w:tcPr>
          <w:p w:rsidR="00DE568F" w:rsidP="008E30FE" w:rsidRDefault="00DE568F" w14:paraId="15155646" w14:textId="79944DF9">
            <w:pPr>
              <w:rPr>
                <w:sz w:val="20"/>
                <w:szCs w:val="20"/>
              </w:rPr>
            </w:pPr>
            <w:r w:rsidRPr="00DE568F">
              <w:rPr>
                <w:sz w:val="20"/>
                <w:szCs w:val="20"/>
              </w:rPr>
              <w:t>Strengthen existing surveillance systems through integration, training, and investment to improve data quality in the wider health information systems e.g. confirmed cases, primary and secondary care data, and death registrations</w:t>
            </w:r>
          </w:p>
        </w:tc>
      </w:tr>
      <w:tr w:rsidR="007D2757" w:rsidTr="2F86FFFF" w14:paraId="3C2EF26B" w14:textId="77777777">
        <w:tc>
          <w:tcPr>
            <w:tcW w:w="4675" w:type="dxa"/>
            <w:tcMar/>
          </w:tcPr>
          <w:p w:rsidRPr="007D2757" w:rsidR="007D2757" w:rsidP="008E30FE" w:rsidRDefault="00E23DEA" w14:paraId="070273EC" w14:textId="3F283437">
            <w:pPr>
              <w:rPr>
                <w:b/>
                <w:bCs/>
                <w:sz w:val="20"/>
                <w:szCs w:val="20"/>
              </w:rPr>
            </w:pPr>
            <w:r w:rsidRPr="00E23DEA">
              <w:rPr>
                <w:b/>
                <w:bCs/>
                <w:sz w:val="20"/>
                <w:szCs w:val="20"/>
              </w:rPr>
              <w:t>Advice and guidance to national teams to consider response strategies and implementation</w:t>
            </w:r>
          </w:p>
        </w:tc>
        <w:tc>
          <w:tcPr>
            <w:tcW w:w="4675" w:type="dxa"/>
            <w:tcMar/>
          </w:tcPr>
          <w:p w:rsidRPr="007D2757" w:rsidR="007D2757" w:rsidP="008E30FE" w:rsidRDefault="00653A37" w14:paraId="0425E0D5" w14:textId="7DE700F0">
            <w:pPr>
              <w:rPr>
                <w:sz w:val="20"/>
                <w:szCs w:val="20"/>
              </w:rPr>
            </w:pPr>
            <w:r>
              <w:rPr>
                <w:sz w:val="20"/>
                <w:szCs w:val="20"/>
              </w:rPr>
              <w:t>Support the d</w:t>
            </w:r>
            <w:r w:rsidRPr="00E23DEA" w:rsidR="00E23DEA">
              <w:rPr>
                <w:sz w:val="20"/>
                <w:szCs w:val="20"/>
              </w:rPr>
              <w:t>evelop</w:t>
            </w:r>
            <w:r>
              <w:rPr>
                <w:sz w:val="20"/>
                <w:szCs w:val="20"/>
              </w:rPr>
              <w:t>ment of</w:t>
            </w:r>
            <w:r w:rsidRPr="00E23DEA" w:rsidR="00E23DEA">
              <w:rPr>
                <w:sz w:val="20"/>
                <w:szCs w:val="20"/>
              </w:rPr>
              <w:t xml:space="preserve"> plans which address the length and severity of the pandemic, including for essential services effected by the pandemic</w:t>
            </w:r>
          </w:p>
        </w:tc>
      </w:tr>
      <w:tr w:rsidR="00E23DEA" w:rsidTr="2F86FFFF" w14:paraId="67D7C12C" w14:textId="77777777">
        <w:tc>
          <w:tcPr>
            <w:tcW w:w="4675" w:type="dxa"/>
            <w:vMerge w:val="restart"/>
            <w:tcMar/>
          </w:tcPr>
          <w:p w:rsidRPr="007D2757" w:rsidR="00E23DEA" w:rsidP="008E30FE" w:rsidRDefault="00E23DEA" w14:paraId="69384C4A" w14:textId="2FB7F469">
            <w:pPr>
              <w:rPr>
                <w:b/>
                <w:bCs/>
                <w:sz w:val="20"/>
                <w:szCs w:val="20"/>
              </w:rPr>
            </w:pPr>
            <w:r w:rsidRPr="00E23DEA">
              <w:rPr>
                <w:b/>
                <w:bCs/>
                <w:sz w:val="20"/>
                <w:szCs w:val="20"/>
              </w:rPr>
              <w:t>Support for the development and/or distribution of public health information/ communication materials (in line with WHO guidance and national strategies)</w:t>
            </w:r>
          </w:p>
        </w:tc>
        <w:tc>
          <w:tcPr>
            <w:tcW w:w="4675" w:type="dxa"/>
            <w:tcMar/>
          </w:tcPr>
          <w:p w:rsidRPr="007D2757" w:rsidR="00E23DEA" w:rsidP="008E30FE" w:rsidRDefault="00E23DEA" w14:paraId="2FD3B51C" w14:textId="616E21C3">
            <w:pPr>
              <w:rPr>
                <w:sz w:val="20"/>
                <w:szCs w:val="20"/>
              </w:rPr>
            </w:pPr>
            <w:r w:rsidRPr="00E23DEA">
              <w:rPr>
                <w:sz w:val="20"/>
                <w:szCs w:val="20"/>
              </w:rPr>
              <w:t>Campaigns to spread information, or dispel myths and fears through social media, SMS helplines, or radio communications</w:t>
            </w:r>
          </w:p>
        </w:tc>
      </w:tr>
      <w:tr w:rsidR="00E23DEA" w:rsidTr="2F86FFFF" w14:paraId="669FA990" w14:textId="77777777">
        <w:tc>
          <w:tcPr>
            <w:tcW w:w="4675" w:type="dxa"/>
            <w:vMerge/>
            <w:tcMar/>
          </w:tcPr>
          <w:p w:rsidRPr="007D2757" w:rsidR="00E23DEA" w:rsidP="008E30FE" w:rsidRDefault="00E23DEA" w14:paraId="09EE14A0" w14:textId="77777777">
            <w:pPr>
              <w:rPr>
                <w:b/>
                <w:bCs/>
                <w:sz w:val="20"/>
                <w:szCs w:val="20"/>
              </w:rPr>
            </w:pPr>
          </w:p>
        </w:tc>
        <w:tc>
          <w:tcPr>
            <w:tcW w:w="4675" w:type="dxa"/>
            <w:tcMar/>
          </w:tcPr>
          <w:p w:rsidRPr="007D2757" w:rsidR="00E23DEA" w:rsidP="008E30FE" w:rsidRDefault="00E23DEA" w14:paraId="0D99F6D9" w14:textId="6897B97C">
            <w:pPr>
              <w:rPr>
                <w:sz w:val="20"/>
                <w:szCs w:val="20"/>
              </w:rPr>
            </w:pPr>
            <w:r>
              <w:rPr>
                <w:sz w:val="20"/>
                <w:szCs w:val="20"/>
              </w:rPr>
              <w:t xml:space="preserve">Develop and distribute leaflets or </w:t>
            </w:r>
            <w:r w:rsidRPr="00E23DEA">
              <w:rPr>
                <w:sz w:val="20"/>
                <w:szCs w:val="20"/>
              </w:rPr>
              <w:t>posters to remind all health workers</w:t>
            </w:r>
            <w:r>
              <w:rPr>
                <w:sz w:val="20"/>
                <w:szCs w:val="20"/>
              </w:rPr>
              <w:t>,</w:t>
            </w:r>
            <w:r w:rsidRPr="00E23DEA">
              <w:rPr>
                <w:sz w:val="20"/>
                <w:szCs w:val="20"/>
              </w:rPr>
              <w:t xml:space="preserve"> as well as patients and visitors</w:t>
            </w:r>
            <w:r>
              <w:rPr>
                <w:sz w:val="20"/>
                <w:szCs w:val="20"/>
              </w:rPr>
              <w:t>,</w:t>
            </w:r>
            <w:r w:rsidRPr="00E23DEA">
              <w:rPr>
                <w:sz w:val="20"/>
                <w:szCs w:val="20"/>
              </w:rPr>
              <w:t xml:space="preserve"> about hand hygiene as part of a multifaceted approach to support behaviour change</w:t>
            </w:r>
          </w:p>
        </w:tc>
      </w:tr>
      <w:tr w:rsidR="00E23DEA" w:rsidTr="2F86FFFF" w14:paraId="78D74B18" w14:textId="77777777">
        <w:tc>
          <w:tcPr>
            <w:tcW w:w="4675" w:type="dxa"/>
            <w:vMerge/>
            <w:tcMar/>
          </w:tcPr>
          <w:p w:rsidRPr="007D2757" w:rsidR="00E23DEA" w:rsidP="008E30FE" w:rsidRDefault="00E23DEA" w14:paraId="6B726740" w14:textId="77777777">
            <w:pPr>
              <w:rPr>
                <w:b/>
                <w:bCs/>
                <w:sz w:val="20"/>
                <w:szCs w:val="20"/>
              </w:rPr>
            </w:pPr>
          </w:p>
        </w:tc>
        <w:tc>
          <w:tcPr>
            <w:tcW w:w="4675" w:type="dxa"/>
            <w:tcMar/>
          </w:tcPr>
          <w:p w:rsidRPr="007D2757" w:rsidR="00E23DEA" w:rsidP="008E30FE" w:rsidRDefault="0022246F" w14:paraId="1EF00407" w14:textId="13362DE0">
            <w:pPr>
              <w:rPr>
                <w:sz w:val="20"/>
                <w:szCs w:val="20"/>
              </w:rPr>
            </w:pPr>
            <w:r w:rsidRPr="0022246F">
              <w:rPr>
                <w:sz w:val="20"/>
                <w:szCs w:val="20"/>
              </w:rPr>
              <w:t>Liaise with national Ministry of Health and/or local health leaders, diaspora, religious leaders, community leaders, community-based organisations and local NGOs through virtual gatherings and virtual speeches to explain the purpose and give them appropriate information and/or materials to support the implementation of social distancing, self-isolation, recognising symptoms etc., enabling them to reach and provide this information to their communities</w:t>
            </w:r>
          </w:p>
        </w:tc>
      </w:tr>
      <w:tr w:rsidR="00E23DEA" w:rsidTr="2F86FFFF" w14:paraId="42E1A07A" w14:textId="77777777">
        <w:tc>
          <w:tcPr>
            <w:tcW w:w="4675" w:type="dxa"/>
            <w:vMerge/>
            <w:tcMar/>
          </w:tcPr>
          <w:p w:rsidRPr="007D2757" w:rsidR="00E23DEA" w:rsidP="008E30FE" w:rsidRDefault="00E23DEA" w14:paraId="1561B6FF" w14:textId="77777777">
            <w:pPr>
              <w:rPr>
                <w:b/>
                <w:bCs/>
                <w:sz w:val="20"/>
                <w:szCs w:val="20"/>
              </w:rPr>
            </w:pPr>
          </w:p>
        </w:tc>
        <w:tc>
          <w:tcPr>
            <w:tcW w:w="4675" w:type="dxa"/>
            <w:tcMar/>
          </w:tcPr>
          <w:p w:rsidRPr="00E23DEA" w:rsidR="00E23DEA" w:rsidP="008E30FE" w:rsidRDefault="00E23DEA" w14:paraId="60B60B70" w14:textId="54BBCE7F">
            <w:pPr>
              <w:rPr>
                <w:sz w:val="20"/>
                <w:szCs w:val="20"/>
              </w:rPr>
            </w:pPr>
            <w:r w:rsidRPr="00E23DEA">
              <w:rPr>
                <w:sz w:val="20"/>
                <w:szCs w:val="20"/>
              </w:rPr>
              <w:t>Protect children attending school by informing children / teachers how to protect themselves and prevent stress and stigma, cleaning / disinfection, and increasing ventilation</w:t>
            </w:r>
          </w:p>
        </w:tc>
      </w:tr>
      <w:tr w:rsidR="00E23DEA" w:rsidTr="2F86FFFF" w14:paraId="5D530B56" w14:textId="77777777">
        <w:tc>
          <w:tcPr>
            <w:tcW w:w="4675" w:type="dxa"/>
            <w:vMerge/>
            <w:tcMar/>
          </w:tcPr>
          <w:p w:rsidRPr="007D2757" w:rsidR="00E23DEA" w:rsidP="008E30FE" w:rsidRDefault="00E23DEA" w14:paraId="18D907B6" w14:textId="77777777">
            <w:pPr>
              <w:rPr>
                <w:b/>
                <w:bCs/>
                <w:sz w:val="20"/>
                <w:szCs w:val="20"/>
              </w:rPr>
            </w:pPr>
          </w:p>
        </w:tc>
        <w:tc>
          <w:tcPr>
            <w:tcW w:w="4675" w:type="dxa"/>
            <w:tcMar/>
          </w:tcPr>
          <w:p w:rsidRPr="00E23DEA" w:rsidR="00E23DEA" w:rsidP="008E30FE" w:rsidRDefault="00E23DEA" w14:paraId="5909857E" w14:textId="20345E92">
            <w:pPr>
              <w:rPr>
                <w:sz w:val="20"/>
                <w:szCs w:val="20"/>
              </w:rPr>
            </w:pPr>
            <w:r w:rsidRPr="605A7136">
              <w:rPr>
                <w:sz w:val="20"/>
                <w:szCs w:val="20"/>
              </w:rPr>
              <w:t>Encourage activities to be held outdoors where possible e.g. school classes, religious services, and increase ventilation of public spaces, transport etc</w:t>
            </w:r>
            <w:r w:rsidRPr="605A7136" w:rsidR="3B98AB0B">
              <w:rPr>
                <w:sz w:val="20"/>
                <w:szCs w:val="20"/>
              </w:rPr>
              <w:t>.</w:t>
            </w:r>
            <w:r w:rsidRPr="605A7136">
              <w:rPr>
                <w:sz w:val="20"/>
                <w:szCs w:val="20"/>
              </w:rPr>
              <w:t xml:space="preserve"> as much as possible</w:t>
            </w:r>
          </w:p>
        </w:tc>
      </w:tr>
      <w:tr w:rsidR="00E23DEA" w:rsidTr="2F86FFFF" w14:paraId="616D7CF1" w14:textId="77777777">
        <w:tc>
          <w:tcPr>
            <w:tcW w:w="4675" w:type="dxa"/>
            <w:vMerge w:val="restart"/>
            <w:tcMar/>
          </w:tcPr>
          <w:p w:rsidRPr="007D2757" w:rsidR="00E23DEA" w:rsidP="00E23DEA" w:rsidRDefault="00E23DEA" w14:paraId="13FCCF39" w14:textId="3A667744">
            <w:pPr>
              <w:rPr>
                <w:b/>
                <w:bCs/>
                <w:sz w:val="20"/>
                <w:szCs w:val="20"/>
              </w:rPr>
            </w:pPr>
            <w:r w:rsidRPr="00E23DEA">
              <w:rPr>
                <w:b/>
                <w:bCs/>
                <w:sz w:val="20"/>
                <w:szCs w:val="20"/>
              </w:rPr>
              <w:t>Facilitate travel and family support for health worker, in line with government’s recommendations and when appropriate to local context</w:t>
            </w:r>
          </w:p>
        </w:tc>
        <w:tc>
          <w:tcPr>
            <w:tcW w:w="4675" w:type="dxa"/>
            <w:tcMar/>
          </w:tcPr>
          <w:p w:rsidRPr="00E23DEA" w:rsidR="00E23DEA" w:rsidP="00E23DEA" w:rsidRDefault="00E23DEA" w14:paraId="64A67899" w14:textId="4EDFAACA">
            <w:pPr>
              <w:rPr>
                <w:sz w:val="20"/>
                <w:szCs w:val="20"/>
              </w:rPr>
            </w:pPr>
            <w:r w:rsidRPr="6C32AB6C">
              <w:rPr>
                <w:sz w:val="20"/>
                <w:szCs w:val="20"/>
              </w:rPr>
              <w:t>Arranging for bus or taxi companies to pick up health workers and drive them to/from work</w:t>
            </w:r>
            <w:r w:rsidRPr="6C32AB6C" w:rsidR="00210409">
              <w:rPr>
                <w:sz w:val="20"/>
                <w:szCs w:val="20"/>
              </w:rPr>
              <w:t xml:space="preserve"> safely</w:t>
            </w:r>
            <w:r w:rsidRPr="6C32AB6C" w:rsidR="001711C5">
              <w:rPr>
                <w:sz w:val="20"/>
                <w:szCs w:val="20"/>
              </w:rPr>
              <w:t xml:space="preserve"> in the absence of </w:t>
            </w:r>
            <w:r w:rsidRPr="6C32AB6C" w:rsidR="00800D21">
              <w:rPr>
                <w:sz w:val="20"/>
                <w:szCs w:val="20"/>
              </w:rPr>
              <w:t>normal forms of public transport</w:t>
            </w:r>
            <w:r w:rsidR="00FE4F16">
              <w:rPr>
                <w:sz w:val="20"/>
                <w:szCs w:val="20"/>
              </w:rPr>
              <w:t xml:space="preserve"> and </w:t>
            </w:r>
            <w:r w:rsidR="00C47816">
              <w:rPr>
                <w:sz w:val="20"/>
                <w:szCs w:val="20"/>
              </w:rPr>
              <w:t xml:space="preserve">to </w:t>
            </w:r>
            <w:r w:rsidR="008C0B3C">
              <w:rPr>
                <w:sz w:val="20"/>
                <w:szCs w:val="20"/>
              </w:rPr>
              <w:t>mitigate risks associated with public transport</w:t>
            </w:r>
          </w:p>
        </w:tc>
      </w:tr>
      <w:tr w:rsidR="00E23DEA" w:rsidTr="2F86FFFF" w14:paraId="167B9534" w14:textId="77777777">
        <w:tc>
          <w:tcPr>
            <w:tcW w:w="4675" w:type="dxa"/>
            <w:vMerge/>
            <w:tcMar/>
          </w:tcPr>
          <w:p w:rsidRPr="007D2757" w:rsidR="00E23DEA" w:rsidP="00E23DEA" w:rsidRDefault="00E23DEA" w14:paraId="7953E899" w14:textId="77777777">
            <w:pPr>
              <w:rPr>
                <w:b/>
                <w:bCs/>
                <w:sz w:val="20"/>
                <w:szCs w:val="20"/>
              </w:rPr>
            </w:pPr>
          </w:p>
        </w:tc>
        <w:tc>
          <w:tcPr>
            <w:tcW w:w="4675" w:type="dxa"/>
            <w:tcMar/>
          </w:tcPr>
          <w:p w:rsidRPr="00E23DEA" w:rsidR="00E23DEA" w:rsidP="00E23DEA" w:rsidRDefault="00E23DEA" w14:paraId="230F2142" w14:textId="143E9B3A">
            <w:pPr>
              <w:rPr>
                <w:sz w:val="20"/>
                <w:szCs w:val="20"/>
              </w:rPr>
            </w:pPr>
            <w:r w:rsidRPr="00E23DEA">
              <w:rPr>
                <w:sz w:val="20"/>
                <w:szCs w:val="20"/>
              </w:rPr>
              <w:t>Facilitating communication between healthcare workers and their families (especially if they must move away from them) by providing access to phones and/or internet connection</w:t>
            </w:r>
          </w:p>
        </w:tc>
      </w:tr>
      <w:tr w:rsidR="00E23DEA" w:rsidTr="2F86FFFF" w14:paraId="7C1EC479" w14:textId="77777777">
        <w:tc>
          <w:tcPr>
            <w:tcW w:w="4675" w:type="dxa"/>
            <w:vMerge w:val="restart"/>
            <w:tcMar/>
          </w:tcPr>
          <w:p w:rsidRPr="00E23DEA" w:rsidR="00E23DEA" w:rsidP="00E23DEA" w:rsidRDefault="00E23DEA" w14:paraId="72F9FB5A" w14:textId="6024A4E8">
            <w:pPr>
              <w:rPr>
                <w:b/>
                <w:bCs/>
                <w:sz w:val="20"/>
                <w:szCs w:val="20"/>
              </w:rPr>
            </w:pPr>
            <w:r w:rsidRPr="00B549B8">
              <w:rPr>
                <w:b/>
                <w:bCs/>
                <w:sz w:val="20"/>
                <w:szCs w:val="20"/>
              </w:rPr>
              <w:t>Interventions which support the psychological resilience or well-being of health workers</w:t>
            </w:r>
          </w:p>
        </w:tc>
        <w:tc>
          <w:tcPr>
            <w:tcW w:w="4675" w:type="dxa"/>
            <w:tcMar/>
          </w:tcPr>
          <w:p w:rsidRPr="00E23DEA" w:rsidR="00E23DEA" w:rsidP="00E23DEA" w:rsidRDefault="00E23DEA" w14:paraId="7B2CAE11" w14:textId="706D6C76">
            <w:pPr>
              <w:rPr>
                <w:sz w:val="20"/>
                <w:szCs w:val="20"/>
              </w:rPr>
            </w:pPr>
            <w:r w:rsidRPr="2F86FFFF" w:rsidR="00E23DEA">
              <w:rPr>
                <w:sz w:val="20"/>
                <w:szCs w:val="20"/>
              </w:rPr>
              <w:t xml:space="preserve">Coordinating and administering remote psychological trainings, for example, trainings in </w:t>
            </w:r>
            <w:hyperlink r:id="R2f24798640ff46c6">
              <w:r w:rsidRPr="2F86FFFF" w:rsidR="00E23DEA">
                <w:rPr>
                  <w:i w:val="1"/>
                  <w:iCs w:val="1"/>
                  <w:color w:val="4472C4" w:themeColor="accent1" w:themeTint="FF" w:themeShade="FF"/>
                  <w:sz w:val="20"/>
                  <w:szCs w:val="20"/>
                  <w:u w:val="single"/>
                </w:rPr>
                <w:t>pre-trauma exposure</w:t>
              </w:r>
            </w:hyperlink>
            <w:r w:rsidRPr="2F86FFFF" w:rsidR="00E23DEA">
              <w:rPr>
                <w:sz w:val="20"/>
                <w:szCs w:val="20"/>
              </w:rPr>
              <w:t xml:space="preserve"> as well as </w:t>
            </w:r>
            <w:hyperlink r:id="R0aa95221ea474d62">
              <w:r w:rsidRPr="2F86FFFF" w:rsidR="00E23DEA">
                <w:rPr>
                  <w:i w:val="1"/>
                  <w:iCs w:val="1"/>
                  <w:color w:val="4472C4" w:themeColor="accent1" w:themeTint="FF" w:themeShade="FF"/>
                  <w:sz w:val="20"/>
                  <w:szCs w:val="20"/>
                  <w:u w:val="single"/>
                </w:rPr>
                <w:t>moral dilemmas</w:t>
              </w:r>
            </w:hyperlink>
            <w:r w:rsidRPr="2F86FFFF" w:rsidR="00E23DEA">
              <w:rPr>
                <w:i w:val="1"/>
                <w:iCs w:val="1"/>
                <w:color w:val="4472C4" w:themeColor="accent1" w:themeTint="FF" w:themeShade="FF"/>
                <w:sz w:val="20"/>
                <w:szCs w:val="20"/>
                <w:u w:val="single"/>
              </w:rPr>
              <w:t>.</w:t>
            </w:r>
            <w:r w:rsidRPr="2F86FFFF" w:rsidR="00E23DEA">
              <w:rPr>
                <w:i w:val="1"/>
                <w:iCs w:val="1"/>
                <w:color w:val="4472C4" w:themeColor="accent1" w:themeTint="FF" w:themeShade="FF"/>
                <w:sz w:val="20"/>
                <w:szCs w:val="20"/>
                <w:u w:val="single"/>
              </w:rPr>
              <w:t xml:space="preserve"> </w:t>
            </w:r>
            <w:r w:rsidRPr="2F86FFFF" w:rsidR="00E23DEA">
              <w:rPr>
                <w:sz w:val="20"/>
                <w:szCs w:val="20"/>
              </w:rPr>
              <w:t>Other training topics could includ</w:t>
            </w:r>
            <w:r w:rsidRPr="2F86FFFF" w:rsidR="00E23DEA">
              <w:rPr>
                <w:sz w:val="20"/>
                <w:szCs w:val="20"/>
              </w:rPr>
              <w:t>e</w:t>
            </w:r>
            <w:r w:rsidRPr="2F86FFFF" w:rsidR="00E23DEA">
              <w:rPr>
                <w:sz w:val="20"/>
                <w:szCs w:val="20"/>
              </w:rPr>
              <w:t xml:space="preserve"> </w:t>
            </w:r>
            <w:r w:rsidRPr="2F86FFFF" w:rsidR="00E23DEA">
              <w:rPr>
                <w:sz w:val="20"/>
                <w:szCs w:val="20"/>
              </w:rPr>
              <w:t>“how to cope with stress” or “personal wellbeing check-ups”</w:t>
            </w:r>
            <w:r w:rsidRPr="2F86FFFF" w:rsidR="00E23DEA">
              <w:rPr>
                <w:i w:val="1"/>
                <w:iCs w:val="1"/>
                <w:sz w:val="20"/>
                <w:szCs w:val="20"/>
              </w:rPr>
              <w:t xml:space="preserve"> </w:t>
            </w:r>
            <w:r w:rsidRPr="2F86FFFF" w:rsidR="00E23DEA">
              <w:rPr>
                <w:sz w:val="20"/>
                <w:szCs w:val="20"/>
              </w:rPr>
              <w:t xml:space="preserve">as </w:t>
            </w:r>
            <w:r w:rsidRPr="2F86FFFF" w:rsidR="00E23DEA">
              <w:rPr>
                <w:sz w:val="20"/>
                <w:szCs w:val="20"/>
              </w:rPr>
              <w:t xml:space="preserve">shared by the </w:t>
            </w:r>
            <w:r w:rsidRPr="2F86FFFF" w:rsidR="00E23DEA">
              <w:rPr>
                <w:i w:val="0"/>
                <w:iCs w:val="0"/>
                <w:color w:val="auto"/>
                <w:sz w:val="20"/>
                <w:szCs w:val="20"/>
                <w:u w:val="none"/>
              </w:rPr>
              <w:t>Academy of Medical Royal Colleges.</w:t>
            </w:r>
            <w:r w:rsidRPr="2F86FFFF" w:rsidR="00E23DEA">
              <w:rPr>
                <w:i w:val="0"/>
                <w:iCs w:val="0"/>
                <w:color w:val="auto"/>
                <w:sz w:val="20"/>
                <w:szCs w:val="20"/>
              </w:rPr>
              <w:t xml:space="preserve"> </w:t>
            </w:r>
            <w:r w:rsidRPr="2F86FFFF" w:rsidR="00E23DEA">
              <w:rPr>
                <w:sz w:val="20"/>
                <w:szCs w:val="20"/>
              </w:rPr>
              <w:t xml:space="preserve">Where appropriate these resources should also build on experiences from Ebola and the mental health </w:t>
            </w:r>
            <w:r w:rsidRPr="2F86FFFF" w:rsidR="00026EEC">
              <w:rPr>
                <w:sz w:val="20"/>
                <w:szCs w:val="20"/>
              </w:rPr>
              <w:t xml:space="preserve">interventions and </w:t>
            </w:r>
            <w:r w:rsidRPr="2F86FFFF" w:rsidR="00E23DEA">
              <w:rPr>
                <w:sz w:val="20"/>
                <w:szCs w:val="20"/>
              </w:rPr>
              <w:t>systems used during that outbreak</w:t>
            </w:r>
          </w:p>
        </w:tc>
      </w:tr>
      <w:tr w:rsidR="00E23DEA" w:rsidTr="2F86FFFF" w14:paraId="27255C91" w14:textId="77777777">
        <w:tc>
          <w:tcPr>
            <w:tcW w:w="4675" w:type="dxa"/>
            <w:vMerge/>
            <w:tcMar/>
          </w:tcPr>
          <w:p w:rsidRPr="1B4FAC93" w:rsidR="00E23DEA" w:rsidP="00E23DEA" w:rsidRDefault="00E23DEA" w14:paraId="534E7361" w14:textId="77777777">
            <w:pPr>
              <w:rPr>
                <w:rFonts w:ascii="Calibri" w:hAnsi="Calibri" w:eastAsia="Calibri" w:cs="Calibri"/>
                <w:color w:val="333333"/>
                <w:sz w:val="20"/>
                <w:szCs w:val="20"/>
              </w:rPr>
            </w:pPr>
          </w:p>
        </w:tc>
        <w:tc>
          <w:tcPr>
            <w:tcW w:w="4675" w:type="dxa"/>
            <w:tcMar/>
          </w:tcPr>
          <w:p w:rsidRPr="1B4FAC93" w:rsidR="00E23DEA" w:rsidP="00E23DEA" w:rsidRDefault="00E23DEA" w14:paraId="03AD370B" w14:textId="5F5CE9A9">
            <w:pPr>
              <w:rPr>
                <w:sz w:val="20"/>
                <w:szCs w:val="20"/>
              </w:rPr>
            </w:pPr>
            <w:r w:rsidRPr="1B4FAC93">
              <w:rPr>
                <w:sz w:val="20"/>
                <w:szCs w:val="20"/>
              </w:rPr>
              <w:t xml:space="preserve">Mentoring/buddying, </w:t>
            </w:r>
            <w:r>
              <w:rPr>
                <w:sz w:val="20"/>
                <w:szCs w:val="20"/>
              </w:rPr>
              <w:t xml:space="preserve">for example through: </w:t>
            </w:r>
            <w:r w:rsidRPr="1B4FAC93">
              <w:rPr>
                <w:sz w:val="20"/>
                <w:szCs w:val="20"/>
              </w:rPr>
              <w:t xml:space="preserve">implementation of </w:t>
            </w:r>
            <w:hyperlink w:history="1" r:id="rId12">
              <w:r w:rsidRPr="00731528">
                <w:rPr>
                  <w:i/>
                  <w:iCs/>
                  <w:color w:val="4472C4" w:themeColor="accent1"/>
                  <w:sz w:val="20"/>
                  <w:szCs w:val="20"/>
                  <w:u w:val="single"/>
                </w:rPr>
                <w:t>Schwartz Rounds</w:t>
              </w:r>
            </w:hyperlink>
            <w:r w:rsidRPr="1B4FAC93">
              <w:rPr>
                <w:sz w:val="20"/>
                <w:szCs w:val="20"/>
              </w:rPr>
              <w:t>; psychological first aid; online drop-in sessions for staff with employee wellbeing experience</w:t>
            </w:r>
            <w:r>
              <w:rPr>
                <w:sz w:val="20"/>
                <w:szCs w:val="20"/>
              </w:rPr>
              <w:t xml:space="preserve">, </w:t>
            </w:r>
            <w:r w:rsidRPr="1B4FAC93">
              <w:rPr>
                <w:sz w:val="20"/>
                <w:szCs w:val="20"/>
              </w:rPr>
              <w:t>engaging and enabling staff with mental-health experience to provide support</w:t>
            </w:r>
            <w:r>
              <w:rPr>
                <w:sz w:val="20"/>
                <w:szCs w:val="20"/>
              </w:rPr>
              <w:t>.</w:t>
            </w:r>
          </w:p>
        </w:tc>
      </w:tr>
      <w:tr w:rsidR="00E23DEA" w:rsidTr="2F86FFFF" w14:paraId="0EBB889E" w14:textId="77777777">
        <w:tc>
          <w:tcPr>
            <w:tcW w:w="4675" w:type="dxa"/>
            <w:vMerge/>
            <w:tcMar/>
          </w:tcPr>
          <w:p w:rsidRPr="1B4FAC93" w:rsidR="00E23DEA" w:rsidP="00E23DEA" w:rsidRDefault="00E23DEA" w14:paraId="0A45D057" w14:textId="77777777">
            <w:pPr>
              <w:rPr>
                <w:rFonts w:ascii="Calibri" w:hAnsi="Calibri" w:eastAsia="Calibri" w:cs="Calibri"/>
                <w:color w:val="333333"/>
                <w:sz w:val="20"/>
                <w:szCs w:val="20"/>
              </w:rPr>
            </w:pPr>
          </w:p>
        </w:tc>
        <w:tc>
          <w:tcPr>
            <w:tcW w:w="4675" w:type="dxa"/>
            <w:tcMar/>
          </w:tcPr>
          <w:p w:rsidRPr="1B4FAC93" w:rsidR="00E23DEA" w:rsidP="00E23DEA" w:rsidRDefault="00E23DEA" w14:paraId="33563EFF" w14:textId="5CC6D855">
            <w:pPr>
              <w:rPr>
                <w:sz w:val="20"/>
                <w:szCs w:val="20"/>
              </w:rPr>
            </w:pPr>
            <w:r w:rsidRPr="1B4FAC93">
              <w:rPr>
                <w:sz w:val="20"/>
                <w:szCs w:val="20"/>
              </w:rPr>
              <w:t xml:space="preserve">Engaging with or coordinating local and informal virtual peer support networks, </w:t>
            </w:r>
            <w:r>
              <w:rPr>
                <w:sz w:val="20"/>
                <w:szCs w:val="20"/>
              </w:rPr>
              <w:t>for example through</w:t>
            </w:r>
            <w:r w:rsidRPr="1B4FAC93">
              <w:rPr>
                <w:sz w:val="20"/>
                <w:szCs w:val="20"/>
              </w:rPr>
              <w:t xml:space="preserve"> an online forum or WhatsApp groups</w:t>
            </w:r>
            <w:r>
              <w:rPr>
                <w:sz w:val="20"/>
                <w:szCs w:val="20"/>
              </w:rPr>
              <w:t>, providing a space</w:t>
            </w:r>
            <w:r w:rsidRPr="1B4FAC93">
              <w:rPr>
                <w:sz w:val="20"/>
                <w:szCs w:val="20"/>
              </w:rPr>
              <w:t xml:space="preserve"> where healthcare workers can share thoughts and provide peer support</w:t>
            </w:r>
          </w:p>
        </w:tc>
      </w:tr>
      <w:tr w:rsidR="00E23DEA" w:rsidTr="2F86FFFF" w14:paraId="79CAFD95" w14:textId="77777777">
        <w:tc>
          <w:tcPr>
            <w:tcW w:w="4675" w:type="dxa"/>
            <w:vMerge/>
            <w:tcMar/>
          </w:tcPr>
          <w:p w:rsidRPr="1B4FAC93" w:rsidR="00E23DEA" w:rsidP="00E23DEA" w:rsidRDefault="00E23DEA" w14:paraId="53099B09" w14:textId="77777777">
            <w:pPr>
              <w:rPr>
                <w:rFonts w:ascii="Calibri" w:hAnsi="Calibri" w:eastAsia="Calibri" w:cs="Calibri"/>
                <w:color w:val="333333"/>
                <w:sz w:val="20"/>
                <w:szCs w:val="20"/>
              </w:rPr>
            </w:pPr>
          </w:p>
        </w:tc>
        <w:tc>
          <w:tcPr>
            <w:tcW w:w="4675" w:type="dxa"/>
            <w:tcMar/>
          </w:tcPr>
          <w:p w:rsidRPr="1B4FAC93" w:rsidR="00E23DEA" w:rsidP="00E23DEA" w:rsidRDefault="00E23DEA" w14:paraId="328D8242" w14:textId="59BDADF1">
            <w:pPr>
              <w:rPr>
                <w:sz w:val="20"/>
                <w:szCs w:val="20"/>
              </w:rPr>
            </w:pPr>
            <w:r w:rsidRPr="1B4FAC93">
              <w:rPr>
                <w:sz w:val="20"/>
                <w:szCs w:val="20"/>
              </w:rPr>
              <w:t>Providing resources</w:t>
            </w:r>
            <w:r>
              <w:rPr>
                <w:sz w:val="20"/>
                <w:szCs w:val="20"/>
              </w:rPr>
              <w:t xml:space="preserve"> (see example </w:t>
            </w:r>
            <w:hyperlink w:history="1" r:id="rId13">
              <w:r w:rsidRPr="00C6283B">
                <w:rPr>
                  <w:rStyle w:val="Hyperlink"/>
                  <w:i/>
                  <w:iCs/>
                  <w:sz w:val="20"/>
                  <w:szCs w:val="20"/>
                </w:rPr>
                <w:t>here</w:t>
              </w:r>
            </w:hyperlink>
            <w:r w:rsidRPr="00C6283B">
              <w:rPr>
                <w:sz w:val="20"/>
                <w:szCs w:val="20"/>
              </w:rPr>
              <w:t>)</w:t>
            </w:r>
            <w:r w:rsidRPr="1B4FAC93">
              <w:rPr>
                <w:sz w:val="20"/>
                <w:szCs w:val="20"/>
              </w:rPr>
              <w:t xml:space="preserve">, </w:t>
            </w:r>
            <w:r>
              <w:rPr>
                <w:sz w:val="20"/>
                <w:szCs w:val="20"/>
              </w:rPr>
              <w:t xml:space="preserve">including: </w:t>
            </w:r>
            <w:r w:rsidRPr="1B4FAC93">
              <w:rPr>
                <w:sz w:val="20"/>
                <w:szCs w:val="20"/>
              </w:rPr>
              <w:t>space, safe/calm places for staff to rest on shift</w:t>
            </w:r>
            <w:r>
              <w:rPr>
                <w:sz w:val="20"/>
                <w:szCs w:val="20"/>
              </w:rPr>
              <w:t>;</w:t>
            </w:r>
            <w:r w:rsidRPr="1B4FAC93">
              <w:rPr>
                <w:sz w:val="20"/>
                <w:szCs w:val="20"/>
              </w:rPr>
              <w:t xml:space="preserve"> sustenance</w:t>
            </w:r>
            <w:r>
              <w:rPr>
                <w:sz w:val="20"/>
                <w:szCs w:val="20"/>
              </w:rPr>
              <w:t>;</w:t>
            </w:r>
            <w:r w:rsidRPr="1B4FAC93">
              <w:rPr>
                <w:sz w:val="20"/>
                <w:szCs w:val="20"/>
              </w:rPr>
              <w:t xml:space="preserve"> beds or other pieces of furniture for </w:t>
            </w:r>
            <w:r w:rsidRPr="1B4FAC93">
              <w:rPr>
                <w:sz w:val="20"/>
                <w:szCs w:val="20"/>
              </w:rPr>
              <w:lastRenderedPageBreak/>
              <w:t>breakrooms</w:t>
            </w:r>
            <w:r>
              <w:rPr>
                <w:sz w:val="20"/>
                <w:szCs w:val="20"/>
              </w:rPr>
              <w:t>;</w:t>
            </w:r>
            <w:r w:rsidRPr="1B4FAC93">
              <w:rPr>
                <w:sz w:val="20"/>
                <w:szCs w:val="20"/>
              </w:rPr>
              <w:t xml:space="preserve"> and access to shower</w:t>
            </w:r>
            <w:r>
              <w:rPr>
                <w:sz w:val="20"/>
                <w:szCs w:val="20"/>
              </w:rPr>
              <w:t>s</w:t>
            </w:r>
            <w:r w:rsidRPr="1B4FAC93">
              <w:rPr>
                <w:sz w:val="20"/>
                <w:szCs w:val="20"/>
              </w:rPr>
              <w:t xml:space="preserve"> and toiletries for frontline staff</w:t>
            </w:r>
          </w:p>
        </w:tc>
      </w:tr>
      <w:tr w:rsidR="00E23DEA" w:rsidTr="2F86FFFF" w14:paraId="43056903" w14:textId="77777777">
        <w:tc>
          <w:tcPr>
            <w:tcW w:w="4675" w:type="dxa"/>
            <w:vMerge/>
            <w:tcMar/>
          </w:tcPr>
          <w:p w:rsidRPr="1B4FAC93" w:rsidR="00E23DEA" w:rsidP="00E23DEA" w:rsidRDefault="00E23DEA" w14:paraId="2007C894" w14:textId="77777777">
            <w:pPr>
              <w:rPr>
                <w:rFonts w:ascii="Calibri" w:hAnsi="Calibri" w:eastAsia="Calibri" w:cs="Calibri"/>
                <w:color w:val="333333"/>
                <w:sz w:val="20"/>
                <w:szCs w:val="20"/>
              </w:rPr>
            </w:pPr>
          </w:p>
        </w:tc>
        <w:tc>
          <w:tcPr>
            <w:tcW w:w="4675" w:type="dxa"/>
            <w:tcMar/>
          </w:tcPr>
          <w:p w:rsidRPr="1B4FAC93" w:rsidR="00E23DEA" w:rsidP="00E23DEA" w:rsidRDefault="00E23DEA" w14:paraId="65A69740" w14:textId="11946CB6">
            <w:pPr>
              <w:rPr>
                <w:sz w:val="20"/>
                <w:szCs w:val="20"/>
              </w:rPr>
            </w:pPr>
            <w:r w:rsidRPr="1B4FAC93">
              <w:rPr>
                <w:sz w:val="20"/>
                <w:szCs w:val="20"/>
              </w:rPr>
              <w:t>Providing spiritual support</w:t>
            </w:r>
          </w:p>
        </w:tc>
      </w:tr>
      <w:tr w:rsidR="00E23DEA" w:rsidTr="2F86FFFF" w14:paraId="7666E21C" w14:textId="77777777">
        <w:tc>
          <w:tcPr>
            <w:tcW w:w="4675" w:type="dxa"/>
            <w:vMerge/>
            <w:tcMar/>
          </w:tcPr>
          <w:p w:rsidRPr="1B4FAC93" w:rsidR="00E23DEA" w:rsidP="00E23DEA" w:rsidRDefault="00E23DEA" w14:paraId="2E296AE9" w14:textId="77777777">
            <w:pPr>
              <w:rPr>
                <w:rFonts w:ascii="Calibri" w:hAnsi="Calibri" w:eastAsia="Calibri" w:cs="Calibri"/>
                <w:color w:val="333333"/>
                <w:sz w:val="20"/>
                <w:szCs w:val="20"/>
              </w:rPr>
            </w:pPr>
          </w:p>
        </w:tc>
        <w:tc>
          <w:tcPr>
            <w:tcW w:w="4675" w:type="dxa"/>
            <w:tcMar/>
          </w:tcPr>
          <w:p w:rsidRPr="1B4FAC93" w:rsidR="00E23DEA" w:rsidP="00E23DEA" w:rsidRDefault="00E23DEA" w14:paraId="05F72C30" w14:textId="061B3B84">
            <w:pPr>
              <w:rPr>
                <w:sz w:val="20"/>
                <w:szCs w:val="20"/>
              </w:rPr>
            </w:pPr>
            <w:r w:rsidRPr="1B4FAC93">
              <w:rPr>
                <w:sz w:val="20"/>
                <w:szCs w:val="20"/>
              </w:rPr>
              <w:t xml:space="preserve">Facilitating access to mental health helplines and listening services </w:t>
            </w:r>
            <w:r>
              <w:rPr>
                <w:sz w:val="20"/>
                <w:szCs w:val="20"/>
              </w:rPr>
              <w:t>through</w:t>
            </w:r>
            <w:r w:rsidRPr="1B4FAC93">
              <w:rPr>
                <w:sz w:val="20"/>
                <w:szCs w:val="20"/>
              </w:rPr>
              <w:t xml:space="preserve"> subscription</w:t>
            </w:r>
            <w:r>
              <w:rPr>
                <w:sz w:val="20"/>
                <w:szCs w:val="20"/>
              </w:rPr>
              <w:t xml:space="preserve"> </w:t>
            </w:r>
            <w:r w:rsidRPr="1B4FAC93">
              <w:rPr>
                <w:sz w:val="20"/>
                <w:szCs w:val="20"/>
              </w:rPr>
              <w:t>services</w:t>
            </w:r>
          </w:p>
        </w:tc>
      </w:tr>
      <w:tr w:rsidR="00E23DEA" w:rsidTr="2F86FFFF" w14:paraId="62BCD04E" w14:textId="77777777">
        <w:tc>
          <w:tcPr>
            <w:tcW w:w="4675" w:type="dxa"/>
            <w:vMerge/>
            <w:tcMar/>
          </w:tcPr>
          <w:p w:rsidRPr="1B4FAC93" w:rsidR="00E23DEA" w:rsidP="00E23DEA" w:rsidRDefault="00E23DEA" w14:paraId="77AA5D6B" w14:textId="77777777">
            <w:pPr>
              <w:rPr>
                <w:rFonts w:ascii="Calibri" w:hAnsi="Calibri" w:eastAsia="Calibri" w:cs="Calibri"/>
                <w:color w:val="333333"/>
                <w:sz w:val="20"/>
                <w:szCs w:val="20"/>
              </w:rPr>
            </w:pPr>
          </w:p>
        </w:tc>
        <w:tc>
          <w:tcPr>
            <w:tcW w:w="4675" w:type="dxa"/>
            <w:tcMar/>
          </w:tcPr>
          <w:p w:rsidRPr="1B4FAC93" w:rsidR="00E23DEA" w:rsidP="00E23DEA" w:rsidRDefault="00E23DEA" w14:paraId="5DCED48B" w14:textId="02C20FC2">
            <w:pPr>
              <w:rPr>
                <w:sz w:val="20"/>
                <w:szCs w:val="20"/>
              </w:rPr>
            </w:pPr>
            <w:r w:rsidRPr="009309AB">
              <w:rPr>
                <w:sz w:val="20"/>
                <w:szCs w:val="20"/>
              </w:rPr>
              <w:t>Leadership development for team leaders and guidance on the facilitation of support groups, for example training on how manager</w:t>
            </w:r>
            <w:r w:rsidR="001D03D5">
              <w:rPr>
                <w:sz w:val="20"/>
                <w:szCs w:val="20"/>
              </w:rPr>
              <w:t>s</w:t>
            </w:r>
            <w:r w:rsidRPr="009309AB">
              <w:rPr>
                <w:sz w:val="20"/>
                <w:szCs w:val="20"/>
              </w:rPr>
              <w:t xml:space="preserve"> can monitor and ensure team's wellbeing and provide consistency</w:t>
            </w:r>
            <w:r w:rsidR="001D03D5">
              <w:rPr>
                <w:sz w:val="20"/>
                <w:szCs w:val="20"/>
              </w:rPr>
              <w:t xml:space="preserve"> in the workplace</w:t>
            </w:r>
          </w:p>
        </w:tc>
      </w:tr>
      <w:tr w:rsidR="00E23DEA" w:rsidTr="2F86FFFF" w14:paraId="0855D9B4" w14:textId="77777777">
        <w:tc>
          <w:tcPr>
            <w:tcW w:w="4675" w:type="dxa"/>
            <w:vMerge/>
            <w:tcMar/>
          </w:tcPr>
          <w:p w:rsidRPr="1B4FAC93" w:rsidR="00E23DEA" w:rsidP="00E23DEA" w:rsidRDefault="00E23DEA" w14:paraId="09330FFA" w14:textId="77777777">
            <w:pPr>
              <w:rPr>
                <w:rFonts w:ascii="Calibri" w:hAnsi="Calibri" w:eastAsia="Calibri" w:cs="Calibri"/>
                <w:color w:val="333333"/>
                <w:sz w:val="20"/>
                <w:szCs w:val="20"/>
              </w:rPr>
            </w:pPr>
          </w:p>
        </w:tc>
        <w:tc>
          <w:tcPr>
            <w:tcW w:w="4675" w:type="dxa"/>
            <w:tcMar/>
          </w:tcPr>
          <w:p w:rsidRPr="009309AB" w:rsidR="00E23DEA" w:rsidP="00E23DEA" w:rsidRDefault="00243094" w14:paraId="06F88D6A" w14:textId="28F9E3C5">
            <w:pPr>
              <w:rPr>
                <w:sz w:val="20"/>
                <w:szCs w:val="20"/>
              </w:rPr>
            </w:pPr>
            <w:r>
              <w:rPr>
                <w:sz w:val="20"/>
                <w:szCs w:val="20"/>
              </w:rPr>
              <w:t>Working with institutional management to ensure</w:t>
            </w:r>
            <w:r w:rsidRPr="00DC3729">
              <w:rPr>
                <w:sz w:val="20"/>
                <w:szCs w:val="20"/>
              </w:rPr>
              <w:t xml:space="preserve"> </w:t>
            </w:r>
            <w:r w:rsidRPr="00DC3729" w:rsidR="00E23DEA">
              <w:rPr>
                <w:sz w:val="20"/>
                <w:szCs w:val="20"/>
              </w:rPr>
              <w:t xml:space="preserve">accommodation is </w:t>
            </w:r>
            <w:r w:rsidR="009A43F8">
              <w:rPr>
                <w:sz w:val="20"/>
                <w:szCs w:val="20"/>
              </w:rPr>
              <w:t xml:space="preserve">made </w:t>
            </w:r>
            <w:r w:rsidRPr="00DC3729" w:rsidR="00E23DEA">
              <w:rPr>
                <w:sz w:val="20"/>
                <w:szCs w:val="20"/>
              </w:rPr>
              <w:t>available on site in hospitals for health workers with vulnerable individuals in their household</w:t>
            </w:r>
          </w:p>
        </w:tc>
      </w:tr>
      <w:tr w:rsidR="00947393" w:rsidTr="2F86FFFF" w14:paraId="02BBCC47" w14:textId="77777777">
        <w:tc>
          <w:tcPr>
            <w:tcW w:w="4675" w:type="dxa"/>
            <w:vMerge w:val="restart"/>
            <w:tcMar/>
          </w:tcPr>
          <w:p w:rsidRPr="00CF24E6" w:rsidR="00947393" w:rsidP="00E23DEA" w:rsidRDefault="00947393" w14:paraId="6DC4B814" w14:textId="03462AB4">
            <w:pPr>
              <w:rPr>
                <w:rFonts w:ascii="Calibri" w:hAnsi="Calibri" w:eastAsia="Calibri" w:cs="Calibri"/>
                <w:b/>
                <w:bCs/>
                <w:color w:val="333333"/>
                <w:sz w:val="20"/>
                <w:szCs w:val="20"/>
              </w:rPr>
            </w:pPr>
            <w:r w:rsidRPr="00B549B8">
              <w:rPr>
                <w:b/>
                <w:bCs/>
                <w:sz w:val="20"/>
                <w:szCs w:val="20"/>
              </w:rPr>
              <w:t>Support for essential health services</w:t>
            </w:r>
          </w:p>
        </w:tc>
        <w:tc>
          <w:tcPr>
            <w:tcW w:w="4675" w:type="dxa"/>
            <w:tcMar/>
          </w:tcPr>
          <w:p w:rsidR="00947393" w:rsidDel="00243094" w:rsidP="00E23DEA" w:rsidRDefault="00947393" w14:paraId="2ED6D526" w14:textId="6C47D3EB">
            <w:pPr>
              <w:rPr>
                <w:sz w:val="20"/>
                <w:szCs w:val="20"/>
              </w:rPr>
            </w:pPr>
            <w:r w:rsidRPr="00277AD9">
              <w:rPr>
                <w:sz w:val="20"/>
                <w:szCs w:val="20"/>
              </w:rPr>
              <w:t xml:space="preserve">Ensuring infection prevention and control measures </w:t>
            </w:r>
            <w:r w:rsidR="00EA7181">
              <w:rPr>
                <w:sz w:val="20"/>
                <w:szCs w:val="20"/>
              </w:rPr>
              <w:t xml:space="preserve">are in place </w:t>
            </w:r>
            <w:r w:rsidRPr="00277AD9">
              <w:rPr>
                <w:sz w:val="20"/>
                <w:szCs w:val="20"/>
              </w:rPr>
              <w:t>to guarantee safe service delivery</w:t>
            </w:r>
            <w:r w:rsidR="00E25967">
              <w:rPr>
                <w:sz w:val="20"/>
                <w:szCs w:val="20"/>
              </w:rPr>
              <w:t xml:space="preserve"> (not including the purchase of IPC materials or equipment)</w:t>
            </w:r>
          </w:p>
        </w:tc>
      </w:tr>
      <w:tr w:rsidR="00947393" w:rsidTr="2F86FFFF" w14:paraId="565483F9" w14:textId="77777777">
        <w:tc>
          <w:tcPr>
            <w:tcW w:w="4675" w:type="dxa"/>
            <w:vMerge/>
            <w:tcMar/>
          </w:tcPr>
          <w:p w:rsidR="00947393" w:rsidP="00E23DEA" w:rsidRDefault="00947393" w14:paraId="3E4FE74D" w14:textId="77777777">
            <w:pPr>
              <w:rPr>
                <w:rFonts w:ascii="Calibri" w:hAnsi="Calibri" w:eastAsia="Calibri" w:cs="Calibri"/>
                <w:color w:val="333333"/>
                <w:sz w:val="20"/>
                <w:szCs w:val="20"/>
              </w:rPr>
            </w:pPr>
          </w:p>
        </w:tc>
        <w:tc>
          <w:tcPr>
            <w:tcW w:w="4675" w:type="dxa"/>
            <w:tcMar/>
          </w:tcPr>
          <w:p w:rsidR="00947393" w:rsidP="00E23DEA" w:rsidRDefault="00947393" w14:paraId="1A6957A8" w14:textId="426C7895">
            <w:pPr>
              <w:rPr>
                <w:sz w:val="20"/>
                <w:szCs w:val="20"/>
              </w:rPr>
            </w:pPr>
            <w:r w:rsidRPr="00B348BA">
              <w:rPr>
                <w:sz w:val="20"/>
                <w:szCs w:val="20"/>
              </w:rPr>
              <w:t>Adjusting governance and coordination mechanisms to support timely action</w:t>
            </w:r>
          </w:p>
        </w:tc>
      </w:tr>
      <w:tr w:rsidR="00947393" w:rsidTr="2F86FFFF" w14:paraId="3DC54CC9" w14:textId="77777777">
        <w:tc>
          <w:tcPr>
            <w:tcW w:w="4675" w:type="dxa"/>
            <w:vMerge/>
            <w:tcMar/>
          </w:tcPr>
          <w:p w:rsidR="00947393" w:rsidP="00E23DEA" w:rsidRDefault="00947393" w14:paraId="5F269C0D" w14:textId="77777777">
            <w:pPr>
              <w:rPr>
                <w:rFonts w:ascii="Calibri" w:hAnsi="Calibri" w:eastAsia="Calibri" w:cs="Calibri"/>
                <w:color w:val="333333"/>
                <w:sz w:val="20"/>
                <w:szCs w:val="20"/>
              </w:rPr>
            </w:pPr>
          </w:p>
        </w:tc>
        <w:tc>
          <w:tcPr>
            <w:tcW w:w="4675" w:type="dxa"/>
            <w:tcMar/>
          </w:tcPr>
          <w:p w:rsidR="00947393" w:rsidP="00E23DEA" w:rsidRDefault="00947393" w14:paraId="673D8286" w14:textId="67E2C2FD">
            <w:pPr>
              <w:rPr>
                <w:sz w:val="20"/>
                <w:szCs w:val="20"/>
              </w:rPr>
            </w:pPr>
            <w:r w:rsidRPr="0000658A">
              <w:rPr>
                <w:rFonts w:ascii="Calibri" w:hAnsi="Calibri" w:cs="Calibri"/>
                <w:sz w:val="20"/>
                <w:szCs w:val="20"/>
              </w:rPr>
              <w:t>Prioriti</w:t>
            </w:r>
            <w:r w:rsidR="00B85C8F">
              <w:rPr>
                <w:rFonts w:ascii="Calibri" w:hAnsi="Calibri" w:cs="Calibri"/>
                <w:sz w:val="20"/>
                <w:szCs w:val="20"/>
              </w:rPr>
              <w:t>s</w:t>
            </w:r>
            <w:r w:rsidRPr="0000658A">
              <w:rPr>
                <w:rFonts w:ascii="Calibri" w:hAnsi="Calibri" w:cs="Calibri"/>
                <w:sz w:val="20"/>
                <w:szCs w:val="20"/>
              </w:rPr>
              <w:t>ing essential services - identifying what can be delayed and what cannot; assessing what can be relocated to areas that are less affected by COVID-19; working out the particular needs of marginalized populations including indigenous peoples, sex workers, migrants and refugees</w:t>
            </w:r>
          </w:p>
        </w:tc>
      </w:tr>
      <w:tr w:rsidR="00947393" w:rsidTr="2F86FFFF" w14:paraId="0760A2EE" w14:textId="77777777">
        <w:tc>
          <w:tcPr>
            <w:tcW w:w="4675" w:type="dxa"/>
            <w:vMerge/>
            <w:tcMar/>
          </w:tcPr>
          <w:p w:rsidR="00947393" w:rsidP="00E23DEA" w:rsidRDefault="00947393" w14:paraId="70959056" w14:textId="77777777">
            <w:pPr>
              <w:rPr>
                <w:rFonts w:ascii="Calibri" w:hAnsi="Calibri" w:eastAsia="Calibri" w:cs="Calibri"/>
                <w:color w:val="333333"/>
                <w:sz w:val="20"/>
                <w:szCs w:val="20"/>
              </w:rPr>
            </w:pPr>
          </w:p>
        </w:tc>
        <w:tc>
          <w:tcPr>
            <w:tcW w:w="4675" w:type="dxa"/>
            <w:tcMar/>
          </w:tcPr>
          <w:p w:rsidR="00947393" w:rsidP="00E23DEA" w:rsidRDefault="00947393" w14:paraId="34CF14E0" w14:textId="7D318762">
            <w:pPr>
              <w:rPr>
                <w:sz w:val="20"/>
                <w:szCs w:val="20"/>
              </w:rPr>
            </w:pPr>
            <w:r w:rsidRPr="00AE5F89">
              <w:rPr>
                <w:sz w:val="20"/>
                <w:szCs w:val="20"/>
              </w:rPr>
              <w:t>Reassigning health workers from areas with low or zero COVID-19 transmission, or from places with excess capacity, to boost the workforce in hard-hit zones so that essential services can be maintained</w:t>
            </w:r>
          </w:p>
        </w:tc>
      </w:tr>
    </w:tbl>
    <w:p w:rsidRPr="008E30FE" w:rsidR="008E30FE" w:rsidP="00E23DEA" w:rsidRDefault="008E30FE" w14:paraId="0090A11A" w14:textId="77777777">
      <w:pPr>
        <w:rPr>
          <w:b/>
          <w:bCs/>
        </w:rPr>
      </w:pPr>
    </w:p>
    <w:sectPr w:rsidRPr="008E30FE" w:rsidR="008E30F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Yu Mincho">
    <w:altName w:val="Yu Mincho"/>
    <w:charset w:val="80"/>
    <w:family w:val="roman"/>
    <w:pitch w:val="variable"/>
    <w:sig w:usb0="00000287" w:usb1="08070000" w:usb2="00000010"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A44"/>
    <w:multiLevelType w:val="hybridMultilevel"/>
    <w:tmpl w:val="51AA79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903D42"/>
    <w:multiLevelType w:val="hybridMultilevel"/>
    <w:tmpl w:val="8B50E6BC"/>
    <w:lvl w:ilvl="0" w:tplc="A8BCA4F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CF737E6"/>
    <w:multiLevelType w:val="hybridMultilevel"/>
    <w:tmpl w:val="413E3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06041CB"/>
    <w:multiLevelType w:val="hybridMultilevel"/>
    <w:tmpl w:val="9B660A78"/>
    <w:lvl w:ilvl="0" w:tplc="A8BCA4F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2570886"/>
    <w:multiLevelType w:val="hybridMultilevel"/>
    <w:tmpl w:val="4372DBD6"/>
    <w:lvl w:ilvl="0" w:tplc="DB968752">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592B161B"/>
    <w:multiLevelType w:val="hybridMultilevel"/>
    <w:tmpl w:val="FE7ECC20"/>
    <w:lvl w:ilvl="0" w:tplc="C6949412">
      <w:numFmt w:val="bullet"/>
      <w:lvlText w:val="-"/>
      <w:lvlJc w:val="left"/>
      <w:pPr>
        <w:ind w:left="1080" w:hanging="360"/>
      </w:pPr>
      <w:rPr>
        <w:rFonts w:hint="default" w:ascii="Calibri" w:hAnsi="Calibri" w:cs="Calibri" w:eastAsiaTheme="minorHAnsi"/>
        <w:sz w:val="2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FE"/>
    <w:rsid w:val="0000658A"/>
    <w:rsid w:val="00026EEC"/>
    <w:rsid w:val="000C691B"/>
    <w:rsid w:val="000E6DBC"/>
    <w:rsid w:val="001357D6"/>
    <w:rsid w:val="00142AF4"/>
    <w:rsid w:val="00154B08"/>
    <w:rsid w:val="001711C5"/>
    <w:rsid w:val="00181052"/>
    <w:rsid w:val="00183F4B"/>
    <w:rsid w:val="00193EFF"/>
    <w:rsid w:val="001D03D5"/>
    <w:rsid w:val="001D3D45"/>
    <w:rsid w:val="00202CA7"/>
    <w:rsid w:val="002037B0"/>
    <w:rsid w:val="00210409"/>
    <w:rsid w:val="0022246F"/>
    <w:rsid w:val="00243094"/>
    <w:rsid w:val="002454FF"/>
    <w:rsid w:val="00246CF7"/>
    <w:rsid w:val="00277AD9"/>
    <w:rsid w:val="002A35EF"/>
    <w:rsid w:val="002D72DB"/>
    <w:rsid w:val="00315928"/>
    <w:rsid w:val="0031777C"/>
    <w:rsid w:val="0035680E"/>
    <w:rsid w:val="003A17E9"/>
    <w:rsid w:val="003B3C51"/>
    <w:rsid w:val="003B51A6"/>
    <w:rsid w:val="003E7560"/>
    <w:rsid w:val="00467B58"/>
    <w:rsid w:val="004C29C7"/>
    <w:rsid w:val="004D2353"/>
    <w:rsid w:val="004D4AF5"/>
    <w:rsid w:val="004E3C76"/>
    <w:rsid w:val="005077AB"/>
    <w:rsid w:val="00532CD2"/>
    <w:rsid w:val="00555B73"/>
    <w:rsid w:val="00564D96"/>
    <w:rsid w:val="00570664"/>
    <w:rsid w:val="0058624E"/>
    <w:rsid w:val="006015AC"/>
    <w:rsid w:val="0061517D"/>
    <w:rsid w:val="00625C17"/>
    <w:rsid w:val="0064421D"/>
    <w:rsid w:val="00653A37"/>
    <w:rsid w:val="006F55DA"/>
    <w:rsid w:val="0074290B"/>
    <w:rsid w:val="00772376"/>
    <w:rsid w:val="007807B8"/>
    <w:rsid w:val="0079219C"/>
    <w:rsid w:val="007C6739"/>
    <w:rsid w:val="007D2757"/>
    <w:rsid w:val="00800D21"/>
    <w:rsid w:val="00803C28"/>
    <w:rsid w:val="0082495F"/>
    <w:rsid w:val="00854F23"/>
    <w:rsid w:val="008611AE"/>
    <w:rsid w:val="00863783"/>
    <w:rsid w:val="00874C13"/>
    <w:rsid w:val="008C0B3C"/>
    <w:rsid w:val="008E30FE"/>
    <w:rsid w:val="00947393"/>
    <w:rsid w:val="009731A0"/>
    <w:rsid w:val="00980B0B"/>
    <w:rsid w:val="00992735"/>
    <w:rsid w:val="00995132"/>
    <w:rsid w:val="009A43F8"/>
    <w:rsid w:val="009E4B7A"/>
    <w:rsid w:val="009E539B"/>
    <w:rsid w:val="009E579B"/>
    <w:rsid w:val="00A1701B"/>
    <w:rsid w:val="00A436C7"/>
    <w:rsid w:val="00A4441F"/>
    <w:rsid w:val="00A7296E"/>
    <w:rsid w:val="00AE5F89"/>
    <w:rsid w:val="00B348BA"/>
    <w:rsid w:val="00B36713"/>
    <w:rsid w:val="00B549B8"/>
    <w:rsid w:val="00B729CE"/>
    <w:rsid w:val="00B85C8F"/>
    <w:rsid w:val="00BB02FA"/>
    <w:rsid w:val="00C017F5"/>
    <w:rsid w:val="00C47816"/>
    <w:rsid w:val="00C55A90"/>
    <w:rsid w:val="00C6791C"/>
    <w:rsid w:val="00C74444"/>
    <w:rsid w:val="00CD03B4"/>
    <w:rsid w:val="00CE0ABA"/>
    <w:rsid w:val="00CF24E6"/>
    <w:rsid w:val="00D65E7B"/>
    <w:rsid w:val="00D76844"/>
    <w:rsid w:val="00DA5285"/>
    <w:rsid w:val="00DA6345"/>
    <w:rsid w:val="00DA68A6"/>
    <w:rsid w:val="00DE568F"/>
    <w:rsid w:val="00E23DEA"/>
    <w:rsid w:val="00E25967"/>
    <w:rsid w:val="00E85DC2"/>
    <w:rsid w:val="00EA7181"/>
    <w:rsid w:val="00EC7E59"/>
    <w:rsid w:val="00F02B1D"/>
    <w:rsid w:val="00F225A5"/>
    <w:rsid w:val="00F30E99"/>
    <w:rsid w:val="00F50A8C"/>
    <w:rsid w:val="00F54450"/>
    <w:rsid w:val="00FB2D70"/>
    <w:rsid w:val="00FC0F2C"/>
    <w:rsid w:val="00FE2F09"/>
    <w:rsid w:val="00FE4F16"/>
    <w:rsid w:val="021B61C4"/>
    <w:rsid w:val="0961AD5B"/>
    <w:rsid w:val="0A3BBCB3"/>
    <w:rsid w:val="12C4F1C7"/>
    <w:rsid w:val="2027BD84"/>
    <w:rsid w:val="26463890"/>
    <w:rsid w:val="2CFCDD36"/>
    <w:rsid w:val="2F86FFFF"/>
    <w:rsid w:val="30F7A868"/>
    <w:rsid w:val="3B98AB0B"/>
    <w:rsid w:val="3E1B2C73"/>
    <w:rsid w:val="43258DE6"/>
    <w:rsid w:val="447D038C"/>
    <w:rsid w:val="456A9361"/>
    <w:rsid w:val="4748632D"/>
    <w:rsid w:val="4B920912"/>
    <w:rsid w:val="5C8CD769"/>
    <w:rsid w:val="5D0CA39B"/>
    <w:rsid w:val="605A7136"/>
    <w:rsid w:val="60DB2290"/>
    <w:rsid w:val="61765613"/>
    <w:rsid w:val="6410C80E"/>
    <w:rsid w:val="6C32AB6C"/>
    <w:rsid w:val="70A8E990"/>
    <w:rsid w:val="751357ED"/>
    <w:rsid w:val="7F953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4BCD"/>
  <w15:chartTrackingRefBased/>
  <w15:docId w15:val="{1F70DE68-05B4-4EFB-B02F-5FFCBF79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30FE"/>
    <w:pPr>
      <w:ind w:left="720"/>
      <w:contextualSpacing/>
    </w:pPr>
  </w:style>
  <w:style w:type="paragraph" w:styleId="BalloonText">
    <w:name w:val="Balloon Text"/>
    <w:basedOn w:val="Normal"/>
    <w:link w:val="BalloonTextChar"/>
    <w:uiPriority w:val="99"/>
    <w:semiHidden/>
    <w:unhideWhenUsed/>
    <w:rsid w:val="008E30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30FE"/>
    <w:rPr>
      <w:rFonts w:ascii="Segoe UI" w:hAnsi="Segoe UI" w:cs="Segoe UI"/>
      <w:sz w:val="18"/>
      <w:szCs w:val="18"/>
      <w:lang w:val="en-GB"/>
    </w:rPr>
  </w:style>
  <w:style w:type="character" w:styleId="CommentReference">
    <w:name w:val="annotation reference"/>
    <w:basedOn w:val="DefaultParagraphFont"/>
    <w:uiPriority w:val="99"/>
    <w:semiHidden/>
    <w:unhideWhenUsed/>
    <w:rsid w:val="008E30FE"/>
    <w:rPr>
      <w:sz w:val="16"/>
      <w:szCs w:val="16"/>
    </w:rPr>
  </w:style>
  <w:style w:type="paragraph" w:styleId="CommentText">
    <w:name w:val="annotation text"/>
    <w:basedOn w:val="Normal"/>
    <w:link w:val="CommentTextChar"/>
    <w:uiPriority w:val="99"/>
    <w:unhideWhenUsed/>
    <w:rsid w:val="008E30FE"/>
    <w:pPr>
      <w:spacing w:before="100" w:after="200" w:line="240" w:lineRule="auto"/>
    </w:pPr>
    <w:rPr>
      <w:rFonts w:eastAsia="Yu Mincho"/>
      <w:sz w:val="20"/>
      <w:szCs w:val="20"/>
      <w:lang w:val="en-US"/>
    </w:rPr>
  </w:style>
  <w:style w:type="character" w:styleId="CommentTextChar" w:customStyle="1">
    <w:name w:val="Comment Text Char"/>
    <w:basedOn w:val="DefaultParagraphFont"/>
    <w:link w:val="CommentText"/>
    <w:uiPriority w:val="99"/>
    <w:rsid w:val="008E30FE"/>
    <w:rPr>
      <w:rFonts w:eastAsia="Yu Mincho"/>
      <w:sz w:val="20"/>
      <w:szCs w:val="20"/>
    </w:rPr>
  </w:style>
  <w:style w:type="table" w:styleId="TableGrid">
    <w:name w:val="Table Grid"/>
    <w:basedOn w:val="TableNormal"/>
    <w:uiPriority w:val="39"/>
    <w:rsid w:val="00625C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E23DEA"/>
    <w:pPr>
      <w:spacing w:before="0" w:after="160"/>
    </w:pPr>
    <w:rPr>
      <w:rFonts w:eastAsiaTheme="minorHAnsi"/>
      <w:b/>
      <w:bCs/>
      <w:lang w:val="en-GB"/>
    </w:rPr>
  </w:style>
  <w:style w:type="character" w:styleId="CommentSubjectChar" w:customStyle="1">
    <w:name w:val="Comment Subject Char"/>
    <w:basedOn w:val="CommentTextChar"/>
    <w:link w:val="CommentSubject"/>
    <w:uiPriority w:val="99"/>
    <w:semiHidden/>
    <w:rsid w:val="00E23DEA"/>
    <w:rPr>
      <w:rFonts w:eastAsia="Yu Mincho"/>
      <w:b/>
      <w:bCs/>
      <w:sz w:val="20"/>
      <w:szCs w:val="20"/>
      <w:lang w:val="en-GB"/>
    </w:rPr>
  </w:style>
  <w:style w:type="character" w:styleId="Hyperlink">
    <w:name w:val="Hyperlink"/>
    <w:basedOn w:val="DefaultParagraphFont"/>
    <w:uiPriority w:val="99"/>
    <w:unhideWhenUsed/>
    <w:rsid w:val="00E23DEA"/>
    <w:rPr>
      <w:color w:val="0563C1" w:themeColor="hyperlink"/>
      <w:u w:val="single"/>
    </w:rPr>
  </w:style>
  <w:style w:type="character" w:styleId="UnresolvedMention">
    <w:name w:val="Unresolved Mention"/>
    <w:basedOn w:val="DefaultParagraphFont"/>
    <w:uiPriority w:val="99"/>
    <w:unhideWhenUsed/>
    <w:rsid w:val="00181052"/>
    <w:rPr>
      <w:color w:val="605E5C"/>
      <w:shd w:val="clear" w:color="auto" w:fill="E1DFDD"/>
    </w:rPr>
  </w:style>
  <w:style w:type="character" w:styleId="Mention">
    <w:name w:val="Mention"/>
    <w:basedOn w:val="DefaultParagraphFont"/>
    <w:uiPriority w:val="99"/>
    <w:unhideWhenUsed/>
    <w:rsid w:val="00181052"/>
    <w:rPr>
      <w:color w:val="2B579A"/>
      <w:shd w:val="clear" w:color="auto" w:fill="E1DFDD"/>
    </w:rPr>
  </w:style>
  <w:style w:type="paragraph" w:styleId="Title">
    <w:name w:val="Title"/>
    <w:basedOn w:val="Normal"/>
    <w:next w:val="Normal"/>
    <w:link w:val="TitleChar"/>
    <w:uiPriority w:val="10"/>
    <w:qFormat/>
    <w:rsid w:val="0064421D"/>
    <w:pPr>
      <w:pBdr>
        <w:bottom w:val="single" w:color="00597B" w:sz="4" w:space="1"/>
      </w:pBdr>
      <w:spacing w:before="240" w:after="60" w:line="276" w:lineRule="auto"/>
      <w:jc w:val="center"/>
      <w:outlineLvl w:val="0"/>
    </w:pPr>
    <w:rPr>
      <w:rFonts w:ascii="Cambria" w:hAnsi="Cambria" w:eastAsia="Times New Roman" w:cs="Times New Roman"/>
      <w:b/>
      <w:bCs/>
      <w:color w:val="00597B"/>
      <w:kern w:val="28"/>
      <w:sz w:val="48"/>
      <w:szCs w:val="32"/>
      <w:lang w:val="x-none"/>
    </w:rPr>
  </w:style>
  <w:style w:type="character" w:styleId="TitleChar" w:customStyle="1">
    <w:name w:val="Title Char"/>
    <w:basedOn w:val="DefaultParagraphFont"/>
    <w:link w:val="Title"/>
    <w:uiPriority w:val="10"/>
    <w:rsid w:val="0064421D"/>
    <w:rPr>
      <w:rFonts w:ascii="Cambria" w:hAnsi="Cambria" w:eastAsia="Times New Roman" w:cs="Times New Roman"/>
      <w:b/>
      <w:bCs/>
      <w:color w:val="00597B"/>
      <w:kern w:val="28"/>
      <w:sz w:val="48"/>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mentalhealthatwork.org.uk/toolkit/supporting-healthcare-workers-mental-health/"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pointofcarefoundation.org.uk/our-work/schwartz-rounds/about-schwartz-round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hyperlink" Target="https://apps.who.int/iris/bitstream/handle/10665/176272/WHO_HIS_SDS_2015.13_eng.pdf;jsessionid=853C0258155A298E48B77631F3B959A8?sequence=1" TargetMode="External" Id="rId9" /><Relationship Type="http://schemas.openxmlformats.org/officeDocument/2006/relationships/fontTable" Target="fontTable.xml" Id="rId14" /><Relationship Type="http://schemas.openxmlformats.org/officeDocument/2006/relationships/hyperlink" Target="https://www.aomrc.org.uk/wp-content/uploads/2020/03/Guidance-for-planners-of-the-psychological-response-to-stress-experienced-by-HCWs-COVID-trauma-response-working-group.pdf" TargetMode="External" Id="R2f24798640ff46c6" /><Relationship Type="http://schemas.openxmlformats.org/officeDocument/2006/relationships/hyperlink" Target="https://www.kcl.ac.uk/news/ensuring-the-mental-health-of-healthcare-workers-in-the-covid-19-pandemic" TargetMode="External" Id="R0aa95221ea474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B3813-015B-4667-8D16-1CC072E630CE}">
  <ds:schemaRefs>
    <ds:schemaRef ds:uri="6545576d-dafa-498f-8783-cb2839012e56"/>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6c3c85a-e57a-492a-8a8e-a6b5c52480c7"/>
    <ds:schemaRef ds:uri="http://www.w3.org/XML/1998/namespace"/>
    <ds:schemaRef ds:uri="http://purl.org/dc/dcmitype/"/>
  </ds:schemaRefs>
</ds:datastoreItem>
</file>

<file path=customXml/itemProps2.xml><?xml version="1.0" encoding="utf-8"?>
<ds:datastoreItem xmlns:ds="http://schemas.openxmlformats.org/officeDocument/2006/customXml" ds:itemID="{5A82B927-1D5A-4464-B305-CACCB3EA6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F2B0-559D-4B54-8535-2040285EC6B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Beatrice Waddingham</dc:creator>
  <keywords/>
  <dc:description/>
  <lastModifiedBy>Jihoon Yoo</lastModifiedBy>
  <revision>3</revision>
  <dcterms:created xsi:type="dcterms:W3CDTF">2020-09-30T15:12:00.0000000Z</dcterms:created>
  <dcterms:modified xsi:type="dcterms:W3CDTF">2020-09-30T17:54:01.1050293Z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