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567A" w14:textId="28C765D3" w:rsidR="008D2EFA" w:rsidRPr="008D2EFA" w:rsidRDefault="008D2EFA" w:rsidP="447ACE2B">
      <w:pPr>
        <w:pBdr>
          <w:top w:val="single" w:sz="24" w:space="0" w:color="186B94"/>
          <w:left w:val="single" w:sz="24" w:space="0" w:color="186B94"/>
          <w:bottom w:val="single" w:sz="24" w:space="0" w:color="186B94"/>
          <w:right w:val="single" w:sz="24" w:space="0" w:color="186B94"/>
        </w:pBdr>
        <w:shd w:val="clear" w:color="auto" w:fill="186B94"/>
        <w:spacing w:before="100" w:after="0" w:line="276" w:lineRule="auto"/>
        <w:outlineLvl w:val="0"/>
        <w:rPr>
          <w:rFonts w:ascii="Calibri" w:eastAsia="Yu Mincho" w:hAnsi="Calibri" w:cs="Calibri"/>
          <w:b/>
          <w:bCs/>
          <w:caps/>
          <w:color w:val="FFFFFF"/>
          <w:spacing w:val="15"/>
        </w:rPr>
      </w:pPr>
      <w:r w:rsidRPr="008D2EFA">
        <w:rPr>
          <w:rFonts w:ascii="Calibri" w:eastAsia="Yu Gothic Light" w:hAnsi="Calibri" w:cs="Calibri"/>
          <w:caps/>
          <w:noProof/>
          <w:color w:val="FFFFFF"/>
          <w:spacing w:val="15"/>
          <w:lang w:val="en-US"/>
        </w:rPr>
        <w:drawing>
          <wp:anchor distT="0" distB="0" distL="114300" distR="114300" simplePos="0" relativeHeight="251658240" behindDoc="0" locked="0" layoutInCell="1" allowOverlap="1" wp14:anchorId="2CE0E0DB" wp14:editId="4A1F0FD1">
            <wp:simplePos x="0" y="0"/>
            <wp:positionH relativeFrom="margin">
              <wp:posOffset>5935650</wp:posOffset>
            </wp:positionH>
            <wp:positionV relativeFrom="paragraph">
              <wp:posOffset>39828</wp:posOffset>
            </wp:positionV>
            <wp:extent cx="887730" cy="606425"/>
            <wp:effectExtent l="0" t="0" r="7620"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PHS_logo-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7730" cy="606425"/>
                    </a:xfrm>
                    <a:prstGeom prst="rect">
                      <a:avLst/>
                    </a:prstGeom>
                  </pic:spPr>
                </pic:pic>
              </a:graphicData>
            </a:graphic>
            <wp14:sizeRelH relativeFrom="page">
              <wp14:pctWidth>0</wp14:pctWidth>
            </wp14:sizeRelH>
            <wp14:sizeRelV relativeFrom="page">
              <wp14:pctHeight>0</wp14:pctHeight>
            </wp14:sizeRelV>
          </wp:anchor>
        </w:drawing>
      </w:r>
      <w:r w:rsidRPr="008D2EFA">
        <w:rPr>
          <w:rFonts w:ascii="Calibri" w:eastAsia="Yu Gothic Light" w:hAnsi="Calibri" w:cs="Calibri"/>
          <w:caps/>
          <w:color w:val="FFFFFF"/>
          <w:spacing w:val="15"/>
          <w:lang w:val="en-US"/>
        </w:rPr>
        <w:t xml:space="preserve">UKPHS CALL FOR APPLICATIONS: </w:t>
      </w:r>
      <w:r w:rsidR="00BF7F78" w:rsidRPr="447ACE2B">
        <w:rPr>
          <w:rFonts w:ascii="Calibri" w:eastAsia="Yu Mincho" w:hAnsi="Calibri" w:cs="Calibri"/>
          <w:caps/>
          <w:color w:val="FFFFFF"/>
          <w:spacing w:val="15"/>
        </w:rPr>
        <w:t xml:space="preserve">covid-19 </w:t>
      </w:r>
      <w:r w:rsidR="00984437" w:rsidRPr="0ABC57E5">
        <w:rPr>
          <w:rFonts w:ascii="Calibri" w:eastAsia="Yu Mincho" w:hAnsi="Calibri" w:cs="Calibri"/>
          <w:caps/>
          <w:color w:val="FFFFFF" w:themeColor="background1"/>
        </w:rPr>
        <w:t>RESPONSE</w:t>
      </w:r>
      <w:r w:rsidR="00BF7F78" w:rsidRPr="447ACE2B">
        <w:rPr>
          <w:rFonts w:ascii="Calibri" w:eastAsia="Yu Mincho" w:hAnsi="Calibri" w:cs="Calibri"/>
          <w:caps/>
          <w:color w:val="FFFFFF"/>
          <w:spacing w:val="15"/>
        </w:rPr>
        <w:t xml:space="preserve"> fund</w:t>
      </w:r>
    </w:p>
    <w:p w14:paraId="240347A9" w14:textId="77777777" w:rsidR="008D2EFA" w:rsidRPr="008D2EFA" w:rsidRDefault="008D2EFA" w:rsidP="008D2EFA">
      <w:pPr>
        <w:pBdr>
          <w:top w:val="single" w:sz="24" w:space="0" w:color="C4E5F5"/>
          <w:left w:val="single" w:sz="24" w:space="0" w:color="C4E5F5"/>
          <w:bottom w:val="single" w:sz="24" w:space="0" w:color="C4E5F5"/>
          <w:right w:val="single" w:sz="24" w:space="0" w:color="C4E5F5"/>
        </w:pBdr>
        <w:shd w:val="clear" w:color="auto" w:fill="C4E5F5"/>
        <w:spacing w:before="100" w:after="0" w:line="276" w:lineRule="auto"/>
        <w:outlineLvl w:val="1"/>
        <w:rPr>
          <w:rFonts w:ascii="Calibri" w:eastAsia="Yu Mincho" w:hAnsi="Calibri" w:cs="Calibri"/>
          <w:caps/>
          <w:spacing w:val="15"/>
          <w:sz w:val="20"/>
          <w:szCs w:val="20"/>
          <w:lang w:val="en-US"/>
        </w:rPr>
      </w:pPr>
      <w:r w:rsidRPr="008D2EFA">
        <w:rPr>
          <w:rFonts w:ascii="Calibri" w:eastAsia="Yu Mincho" w:hAnsi="Calibri" w:cs="Calibri"/>
          <w:caps/>
          <w:spacing w:val="15"/>
          <w:sz w:val="20"/>
          <w:szCs w:val="20"/>
          <w:lang w:val="en-US"/>
        </w:rPr>
        <w:t>BACKGROUND</w:t>
      </w:r>
    </w:p>
    <w:p w14:paraId="15899807" w14:textId="0CAC248B" w:rsidR="00E029DE" w:rsidRPr="00E029DE" w:rsidRDefault="00E029DE" w:rsidP="00E029DE">
      <w:pPr>
        <w:spacing w:before="100" w:after="120" w:line="276" w:lineRule="auto"/>
        <w:jc w:val="both"/>
        <w:rPr>
          <w:rFonts w:ascii="Calibri" w:eastAsia="Yu Mincho" w:hAnsi="Calibri" w:cs="Arial"/>
          <w:sz w:val="20"/>
          <w:szCs w:val="20"/>
          <w:lang w:val="en-US"/>
        </w:rPr>
      </w:pPr>
      <w:r w:rsidRPr="00E029DE">
        <w:rPr>
          <w:rFonts w:ascii="Calibri" w:eastAsia="Yu Mincho" w:hAnsi="Calibri" w:cs="Arial"/>
          <w:sz w:val="20"/>
          <w:szCs w:val="20"/>
          <w:lang w:val="en-US"/>
        </w:rPr>
        <w:t>The UK Partnerships for Health Systems programme (UKPHS) aims to work with low and lower middle-income countries (LMICs) to build stronger and more resilient health systems, making progress towards achieving Universal Health Coverage (UHC) through improved health service performance. The programme particularly targets poor and vulnerable populations and will ultimately contribute to better health and wellbeing (SDG 3), including ending preventable deaths. Funded by the UK Foreign, Commonwealth and Development Office (FCDO), UKPHS engages the UK health sector by harnessing the expertise of UK health institutions and professionals in partnerships with LMIC counterparts.</w:t>
      </w:r>
    </w:p>
    <w:p w14:paraId="0247DF62" w14:textId="77777777" w:rsidR="00575813" w:rsidRPr="00575813" w:rsidRDefault="00575813" w:rsidP="00575813">
      <w:pPr>
        <w:spacing w:after="120"/>
        <w:jc w:val="both"/>
        <w:rPr>
          <w:sz w:val="20"/>
          <w:szCs w:val="20"/>
        </w:rPr>
      </w:pPr>
      <w:r w:rsidRPr="00575813">
        <w:rPr>
          <w:sz w:val="20"/>
          <w:szCs w:val="20"/>
        </w:rPr>
        <w:t>The key aims of the programme are to:</w:t>
      </w:r>
    </w:p>
    <w:p w14:paraId="4FEEDD2D" w14:textId="77777777" w:rsidR="00575813" w:rsidRPr="005E3D98" w:rsidRDefault="00575813" w:rsidP="005E3D98">
      <w:pPr>
        <w:numPr>
          <w:ilvl w:val="0"/>
          <w:numId w:val="1"/>
        </w:numPr>
        <w:spacing w:before="100" w:after="120" w:line="276" w:lineRule="auto"/>
        <w:contextualSpacing/>
        <w:jc w:val="both"/>
        <w:rPr>
          <w:rFonts w:ascii="Calibri" w:eastAsia="Yu Mincho" w:hAnsi="Calibri" w:cs="Arial"/>
          <w:sz w:val="20"/>
          <w:szCs w:val="20"/>
          <w:lang w:val="en-US"/>
        </w:rPr>
      </w:pPr>
      <w:bookmarkStart w:id="0" w:name="_Hlk34133677"/>
      <w:r w:rsidRPr="005E3D98">
        <w:rPr>
          <w:rFonts w:ascii="Calibri" w:eastAsia="Yu Mincho" w:hAnsi="Calibri" w:cs="Arial"/>
          <w:sz w:val="20"/>
          <w:szCs w:val="20"/>
          <w:lang w:val="en-US"/>
        </w:rPr>
        <w:t>Support the development of stronger and more resilient health systems through, for example, better governance, information, and management of health institutions</w:t>
      </w:r>
    </w:p>
    <w:p w14:paraId="19A7F8CB" w14:textId="77777777" w:rsidR="00575813" w:rsidRPr="005E3D98" w:rsidRDefault="00575813" w:rsidP="005E3D98">
      <w:pPr>
        <w:numPr>
          <w:ilvl w:val="0"/>
          <w:numId w:val="1"/>
        </w:numPr>
        <w:spacing w:before="100" w:after="120" w:line="276" w:lineRule="auto"/>
        <w:contextualSpacing/>
        <w:jc w:val="both"/>
        <w:rPr>
          <w:rFonts w:ascii="Calibri" w:eastAsia="Yu Mincho" w:hAnsi="Calibri" w:cs="Arial"/>
          <w:sz w:val="20"/>
          <w:szCs w:val="20"/>
          <w:lang w:val="en-US"/>
        </w:rPr>
      </w:pPr>
      <w:r w:rsidRPr="005E3D98">
        <w:rPr>
          <w:rFonts w:ascii="Calibri" w:eastAsia="Yu Mincho" w:hAnsi="Calibri" w:cs="Arial"/>
          <w:sz w:val="20"/>
          <w:szCs w:val="20"/>
          <w:lang w:val="en-US"/>
        </w:rPr>
        <w:t>Improve the quality of health services through systematic approaches to improving the skills and knowledge of health workers and other professionals in the health sector, especially in reproductive, maternal, neonatal, child and adolescent services where this aligns with country priorities</w:t>
      </w:r>
    </w:p>
    <w:p w14:paraId="5C00375F" w14:textId="77777777" w:rsidR="00575813" w:rsidRDefault="00575813" w:rsidP="005E3D98">
      <w:pPr>
        <w:numPr>
          <w:ilvl w:val="0"/>
          <w:numId w:val="1"/>
        </w:numPr>
        <w:spacing w:before="100" w:after="120" w:line="276" w:lineRule="auto"/>
        <w:contextualSpacing/>
        <w:jc w:val="both"/>
        <w:rPr>
          <w:rFonts w:ascii="Calibri" w:eastAsia="Yu Mincho" w:hAnsi="Calibri" w:cs="Arial"/>
          <w:sz w:val="20"/>
          <w:szCs w:val="20"/>
          <w:lang w:val="en-US"/>
        </w:rPr>
      </w:pPr>
      <w:r w:rsidRPr="005E3D98">
        <w:rPr>
          <w:rFonts w:ascii="Calibri" w:eastAsia="Yu Mincho" w:hAnsi="Calibri" w:cs="Arial"/>
          <w:sz w:val="20"/>
          <w:szCs w:val="20"/>
          <w:lang w:val="en-US"/>
        </w:rPr>
        <w:t>Build on institutional capacity to decrease any reliance on external support.</w:t>
      </w:r>
    </w:p>
    <w:bookmarkEnd w:id="0"/>
    <w:p w14:paraId="677D3D1E" w14:textId="77777777" w:rsidR="005E3D98" w:rsidRPr="005E3D98" w:rsidRDefault="005E3D98" w:rsidP="005E3D98">
      <w:pPr>
        <w:spacing w:before="100" w:after="120" w:line="276" w:lineRule="auto"/>
        <w:ind w:left="720"/>
        <w:contextualSpacing/>
        <w:jc w:val="both"/>
        <w:rPr>
          <w:rFonts w:ascii="Calibri" w:eastAsia="Yu Mincho" w:hAnsi="Calibri" w:cs="Arial"/>
          <w:sz w:val="20"/>
          <w:szCs w:val="20"/>
          <w:lang w:val="en-US"/>
        </w:rPr>
      </w:pPr>
    </w:p>
    <w:p w14:paraId="1F305717" w14:textId="77777777" w:rsidR="00257B4E" w:rsidRPr="00257B4E" w:rsidRDefault="00257B4E" w:rsidP="00257B4E">
      <w:pPr>
        <w:spacing w:before="100" w:after="200" w:line="276" w:lineRule="auto"/>
        <w:jc w:val="both"/>
        <w:rPr>
          <w:rFonts w:ascii="Calibri" w:eastAsia="Yu Mincho" w:hAnsi="Calibri" w:cs="Arial"/>
          <w:sz w:val="20"/>
          <w:szCs w:val="20"/>
          <w:lang w:val="en-US"/>
        </w:rPr>
      </w:pPr>
      <w:r w:rsidRPr="00257B4E">
        <w:rPr>
          <w:rFonts w:ascii="Calibri" w:eastAsia="Yu Mincho" w:hAnsi="Calibri" w:cs="Arial"/>
          <w:sz w:val="20"/>
          <w:szCs w:val="20"/>
          <w:lang w:val="en-US"/>
        </w:rPr>
        <w:t>UKPHS is managed by the Tropical Health and Education Trust (THET) and our partners the Liverpool School of Tropical Medicine (LSTM), who are providing technical assistance in the areas of health systems strengthening, gender equality and social inclusion, and monitoring, evaluation, research and learning.</w:t>
      </w:r>
    </w:p>
    <w:p w14:paraId="6E6F24FE" w14:textId="2CE4BDA5" w:rsidR="00D24523" w:rsidRPr="00F22FF1" w:rsidRDefault="00D24523" w:rsidP="00D24523">
      <w:pPr>
        <w:spacing w:after="120" w:line="240" w:lineRule="auto"/>
        <w:jc w:val="both"/>
        <w:rPr>
          <w:sz w:val="20"/>
          <w:szCs w:val="20"/>
        </w:rPr>
      </w:pPr>
      <w:r w:rsidRPr="24EB5507">
        <w:rPr>
          <w:rFonts w:eastAsia="Calibri Light"/>
          <w:color w:val="000000" w:themeColor="text1"/>
          <w:sz w:val="20"/>
          <w:szCs w:val="20"/>
        </w:rPr>
        <w:t xml:space="preserve">COVID-19 is having a global impact on health systems, and LMICs </w:t>
      </w:r>
      <w:r w:rsidR="00847EC4">
        <w:rPr>
          <w:rFonts w:eastAsia="Calibri Light"/>
          <w:color w:val="000000" w:themeColor="text1"/>
          <w:sz w:val="20"/>
          <w:szCs w:val="20"/>
        </w:rPr>
        <w:t>can be</w:t>
      </w:r>
      <w:r w:rsidRPr="24EB5507">
        <w:rPr>
          <w:rFonts w:eastAsia="Calibri Light"/>
          <w:color w:val="000000" w:themeColor="text1"/>
          <w:sz w:val="20"/>
          <w:szCs w:val="20"/>
        </w:rPr>
        <w:t xml:space="preserve"> particularly vulnerable to the shocks that the pandemic is </w:t>
      </w:r>
      <w:r w:rsidR="00DF5A5D">
        <w:rPr>
          <w:rFonts w:eastAsia="Calibri Light"/>
          <w:color w:val="000000" w:themeColor="text1"/>
          <w:sz w:val="20"/>
          <w:szCs w:val="20"/>
        </w:rPr>
        <w:t xml:space="preserve">causing, or </w:t>
      </w:r>
      <w:r w:rsidRPr="24EB5507">
        <w:rPr>
          <w:rFonts w:eastAsia="Calibri Light"/>
          <w:color w:val="000000" w:themeColor="text1"/>
          <w:sz w:val="20"/>
          <w:szCs w:val="20"/>
        </w:rPr>
        <w:t xml:space="preserve">likely to cause. </w:t>
      </w:r>
      <w:r w:rsidRPr="24EB5507">
        <w:rPr>
          <w:sz w:val="20"/>
          <w:szCs w:val="20"/>
        </w:rPr>
        <w:t>In recognition of th</w:t>
      </w:r>
      <w:r w:rsidR="00DF5A5D">
        <w:rPr>
          <w:sz w:val="20"/>
          <w:szCs w:val="20"/>
        </w:rPr>
        <w:t>is</w:t>
      </w:r>
      <w:r w:rsidRPr="24EB5507">
        <w:rPr>
          <w:sz w:val="20"/>
          <w:szCs w:val="20"/>
        </w:rPr>
        <w:t xml:space="preserve"> vulnerability, the key objective of the UKPHS </w:t>
      </w:r>
      <w:r w:rsidR="51658662" w:rsidRPr="0B4F1BED">
        <w:rPr>
          <w:sz w:val="20"/>
          <w:szCs w:val="20"/>
        </w:rPr>
        <w:t>COVID</w:t>
      </w:r>
      <w:r w:rsidR="3C63F238" w:rsidRPr="24EB5507">
        <w:rPr>
          <w:sz w:val="20"/>
          <w:szCs w:val="20"/>
        </w:rPr>
        <w:t xml:space="preserve">-19 </w:t>
      </w:r>
      <w:r w:rsidRPr="24EB5507">
        <w:rPr>
          <w:sz w:val="20"/>
          <w:szCs w:val="20"/>
        </w:rPr>
        <w:t>Response Fund will be to support established Health Partnerships</w:t>
      </w:r>
      <w:r w:rsidR="0040717A">
        <w:rPr>
          <w:sz w:val="20"/>
          <w:szCs w:val="20"/>
        </w:rPr>
        <w:t xml:space="preserve"> </w:t>
      </w:r>
      <w:r w:rsidR="00DB653F">
        <w:rPr>
          <w:sz w:val="20"/>
          <w:szCs w:val="20"/>
        </w:rPr>
        <w:t>(HPs)</w:t>
      </w:r>
      <w:r w:rsidR="0040717A">
        <w:rPr>
          <w:sz w:val="20"/>
          <w:szCs w:val="20"/>
        </w:rPr>
        <w:t xml:space="preserve"> </w:t>
      </w:r>
      <w:r w:rsidR="0040717A" w:rsidRPr="0040717A">
        <w:rPr>
          <w:sz w:val="20"/>
          <w:szCs w:val="20"/>
        </w:rPr>
        <w:t>to address gaps in skills and knowledge to prevent and treat COVID-19</w:t>
      </w:r>
      <w:r w:rsidR="0025326F">
        <w:rPr>
          <w:sz w:val="20"/>
          <w:szCs w:val="20"/>
        </w:rPr>
        <w:t>,</w:t>
      </w:r>
      <w:r w:rsidR="0040717A" w:rsidRPr="0040717A">
        <w:rPr>
          <w:sz w:val="20"/>
          <w:szCs w:val="20"/>
        </w:rPr>
        <w:t xml:space="preserve"> </w:t>
      </w:r>
      <w:r w:rsidR="000A765B">
        <w:rPr>
          <w:sz w:val="20"/>
          <w:szCs w:val="20"/>
        </w:rPr>
        <w:t>promote</w:t>
      </w:r>
      <w:r w:rsidR="000A765B" w:rsidRPr="0040717A">
        <w:rPr>
          <w:sz w:val="20"/>
          <w:szCs w:val="20"/>
        </w:rPr>
        <w:t xml:space="preserve"> </w:t>
      </w:r>
      <w:r w:rsidR="0040717A" w:rsidRPr="0040717A">
        <w:rPr>
          <w:sz w:val="20"/>
          <w:szCs w:val="20"/>
        </w:rPr>
        <w:t>the safety and well-being of health workers in LMICs, including their physical and mental health</w:t>
      </w:r>
      <w:r w:rsidR="009E3379">
        <w:rPr>
          <w:sz w:val="20"/>
          <w:szCs w:val="20"/>
        </w:rPr>
        <w:t xml:space="preserve">, and </w:t>
      </w:r>
      <w:r w:rsidR="00F13FC9">
        <w:rPr>
          <w:rFonts w:ascii="Calibri" w:eastAsia="Yu Mincho" w:hAnsi="Calibri" w:cs="Arial"/>
          <w:sz w:val="20"/>
          <w:szCs w:val="20"/>
          <w:lang w:val="en-US"/>
        </w:rPr>
        <w:t>provide support</w:t>
      </w:r>
      <w:r w:rsidR="009E3379">
        <w:rPr>
          <w:rFonts w:ascii="Calibri" w:eastAsia="Yu Mincho" w:hAnsi="Calibri" w:cs="Arial"/>
          <w:sz w:val="20"/>
          <w:szCs w:val="20"/>
          <w:lang w:val="en-US"/>
        </w:rPr>
        <w:t xml:space="preserve"> </w:t>
      </w:r>
      <w:r w:rsidR="00F16095">
        <w:rPr>
          <w:rFonts w:ascii="Calibri" w:eastAsia="Yu Mincho" w:hAnsi="Calibri" w:cs="Arial"/>
          <w:sz w:val="20"/>
          <w:szCs w:val="20"/>
          <w:lang w:val="en-US"/>
        </w:rPr>
        <w:t>so that</w:t>
      </w:r>
      <w:r w:rsidR="009E3379">
        <w:rPr>
          <w:rFonts w:ascii="Calibri" w:eastAsia="Yu Mincho" w:hAnsi="Calibri" w:cs="Arial"/>
          <w:sz w:val="20"/>
          <w:szCs w:val="20"/>
          <w:lang w:val="en-US"/>
        </w:rPr>
        <w:t xml:space="preserve"> essential health services </w:t>
      </w:r>
      <w:r w:rsidR="00F16095">
        <w:rPr>
          <w:rFonts w:ascii="Calibri" w:eastAsia="Yu Mincho" w:hAnsi="Calibri" w:cs="Arial"/>
          <w:sz w:val="20"/>
          <w:szCs w:val="20"/>
          <w:lang w:val="en-US"/>
        </w:rPr>
        <w:t>can be provided in spite of</w:t>
      </w:r>
      <w:r w:rsidR="009E3379">
        <w:rPr>
          <w:rFonts w:ascii="Calibri" w:eastAsia="Yu Mincho" w:hAnsi="Calibri" w:cs="Arial"/>
          <w:sz w:val="20"/>
          <w:szCs w:val="20"/>
          <w:lang w:val="en-US"/>
        </w:rPr>
        <w:t xml:space="preserve"> COVID-19 risks and pressures</w:t>
      </w:r>
      <w:r w:rsidR="00843602">
        <w:rPr>
          <w:sz w:val="20"/>
          <w:szCs w:val="20"/>
        </w:rPr>
        <w:t>.</w:t>
      </w:r>
      <w:r w:rsidR="007F5E5E">
        <w:rPr>
          <w:sz w:val="20"/>
          <w:szCs w:val="20"/>
        </w:rPr>
        <w:t xml:space="preserve"> </w:t>
      </w:r>
      <w:r w:rsidR="00DB312B">
        <w:rPr>
          <w:sz w:val="20"/>
          <w:szCs w:val="20"/>
        </w:rPr>
        <w:t>By doing this, health workers will be in a better position to provide safe and effective care to patients.</w:t>
      </w:r>
      <w:r w:rsidRPr="24EB5507">
        <w:rPr>
          <w:sz w:val="20"/>
          <w:szCs w:val="20"/>
        </w:rPr>
        <w:t xml:space="preserve"> </w:t>
      </w:r>
    </w:p>
    <w:p w14:paraId="2CBBA6DB" w14:textId="0BE64BFF" w:rsidR="00B7415D" w:rsidRPr="00661ABE" w:rsidRDefault="00D24523" w:rsidP="00B7415D">
      <w:pPr>
        <w:spacing w:after="120" w:line="240" w:lineRule="auto"/>
        <w:jc w:val="both"/>
        <w:rPr>
          <w:rFonts w:eastAsia="Calibri Light"/>
          <w:color w:val="000000" w:themeColor="text1"/>
          <w:sz w:val="20"/>
          <w:szCs w:val="20"/>
        </w:rPr>
      </w:pPr>
      <w:r w:rsidRPr="7AA17F45">
        <w:rPr>
          <w:sz w:val="20"/>
          <w:szCs w:val="20"/>
        </w:rPr>
        <w:t xml:space="preserve">Given their nature, </w:t>
      </w:r>
      <w:r w:rsidR="0EAC7D24" w:rsidRPr="7AA17F45">
        <w:rPr>
          <w:sz w:val="20"/>
          <w:szCs w:val="20"/>
        </w:rPr>
        <w:t>HPs</w:t>
      </w:r>
      <w:r w:rsidR="3C63F238" w:rsidRPr="7AA17F45">
        <w:rPr>
          <w:sz w:val="20"/>
          <w:szCs w:val="20"/>
        </w:rPr>
        <w:t xml:space="preserve"> </w:t>
      </w:r>
      <w:r w:rsidRPr="7AA17F45">
        <w:rPr>
          <w:sz w:val="20"/>
          <w:szCs w:val="20"/>
        </w:rPr>
        <w:t xml:space="preserve">are in a unique position to offer this support, drawing on strong ties of trust, collegiality and professional respect that sit at the heart of relationships developed over many years. </w:t>
      </w:r>
      <w:r w:rsidR="006530CC" w:rsidRPr="7AA17F45">
        <w:rPr>
          <w:sz w:val="20"/>
          <w:szCs w:val="20"/>
        </w:rPr>
        <w:t xml:space="preserve">While international travel will not be </w:t>
      </w:r>
      <w:r w:rsidR="003977CE" w:rsidRPr="7AA17F45">
        <w:rPr>
          <w:sz w:val="20"/>
          <w:szCs w:val="20"/>
        </w:rPr>
        <w:t>funded</w:t>
      </w:r>
      <w:r w:rsidR="006530CC" w:rsidRPr="7AA17F45">
        <w:rPr>
          <w:sz w:val="20"/>
          <w:szCs w:val="20"/>
        </w:rPr>
        <w:t xml:space="preserve"> through th</w:t>
      </w:r>
      <w:r w:rsidR="003977CE" w:rsidRPr="7AA17F45">
        <w:rPr>
          <w:sz w:val="20"/>
          <w:szCs w:val="20"/>
        </w:rPr>
        <w:t>e UKPHS COVID-19 Response</w:t>
      </w:r>
      <w:r w:rsidR="006530CC" w:rsidRPr="7AA17F45">
        <w:rPr>
          <w:sz w:val="20"/>
          <w:szCs w:val="20"/>
        </w:rPr>
        <w:t xml:space="preserve"> </w:t>
      </w:r>
      <w:r w:rsidR="00A856DF" w:rsidRPr="7AA17F45">
        <w:rPr>
          <w:sz w:val="20"/>
          <w:szCs w:val="20"/>
        </w:rPr>
        <w:t>Fund, HPs will be able to</w:t>
      </w:r>
      <w:r w:rsidRPr="7AA17F45">
        <w:rPr>
          <w:sz w:val="20"/>
          <w:szCs w:val="20"/>
        </w:rPr>
        <w:t xml:space="preserve"> harness flows of support at an institutional and individual level</w:t>
      </w:r>
      <w:r w:rsidR="00A856DF" w:rsidRPr="7AA17F45">
        <w:rPr>
          <w:sz w:val="20"/>
          <w:szCs w:val="20"/>
        </w:rPr>
        <w:t xml:space="preserve"> through utilising technology and mobilising </w:t>
      </w:r>
      <w:r w:rsidR="00DA3356" w:rsidRPr="7AA17F45">
        <w:rPr>
          <w:sz w:val="20"/>
          <w:szCs w:val="20"/>
        </w:rPr>
        <w:t xml:space="preserve">virtual communication </w:t>
      </w:r>
      <w:r w:rsidR="003F44E3" w:rsidRPr="7AA17F45">
        <w:rPr>
          <w:sz w:val="20"/>
          <w:szCs w:val="20"/>
        </w:rPr>
        <w:t>tools</w:t>
      </w:r>
      <w:r w:rsidR="00B7415D" w:rsidRPr="7AA17F45">
        <w:rPr>
          <w:sz w:val="20"/>
          <w:szCs w:val="20"/>
        </w:rPr>
        <w:t xml:space="preserve">. </w:t>
      </w:r>
      <w:r w:rsidR="00B7415D" w:rsidRPr="7AA17F45">
        <w:rPr>
          <w:rFonts w:eastAsia="Calibri Light"/>
          <w:color w:val="000000" w:themeColor="text1"/>
          <w:sz w:val="20"/>
          <w:szCs w:val="20"/>
        </w:rPr>
        <w:t>Established HPs can support each other by:</w:t>
      </w:r>
    </w:p>
    <w:p w14:paraId="35FCDA01" w14:textId="77777777" w:rsidR="00B7415D" w:rsidRPr="00661ABE" w:rsidRDefault="00B7415D" w:rsidP="00B7415D">
      <w:pPr>
        <w:pStyle w:val="ListParagraph"/>
        <w:numPr>
          <w:ilvl w:val="0"/>
          <w:numId w:val="8"/>
        </w:numPr>
        <w:spacing w:line="240" w:lineRule="auto"/>
        <w:jc w:val="both"/>
        <w:rPr>
          <w:rFonts w:cstheme="minorHAnsi"/>
          <w:color w:val="000000" w:themeColor="text1"/>
        </w:rPr>
      </w:pPr>
      <w:r w:rsidRPr="00661ABE">
        <w:rPr>
          <w:rFonts w:eastAsia="Calibri Light" w:cstheme="minorHAnsi"/>
          <w:color w:val="000000" w:themeColor="text1"/>
        </w:rPr>
        <w:t>Delivering training and advice through virtual means.</w:t>
      </w:r>
    </w:p>
    <w:p w14:paraId="404425EA" w14:textId="7FB281FF" w:rsidR="00B7415D" w:rsidRPr="00661ABE" w:rsidRDefault="00B7415D" w:rsidP="00B7415D">
      <w:pPr>
        <w:pStyle w:val="ListParagraph"/>
        <w:numPr>
          <w:ilvl w:val="0"/>
          <w:numId w:val="8"/>
        </w:numPr>
        <w:spacing w:line="240" w:lineRule="auto"/>
        <w:jc w:val="both"/>
        <w:rPr>
          <w:rFonts w:cstheme="minorHAnsi"/>
          <w:color w:val="000000" w:themeColor="text1"/>
        </w:rPr>
      </w:pPr>
      <w:r w:rsidRPr="00661ABE">
        <w:rPr>
          <w:rFonts w:eastAsia="Calibri Light" w:cstheme="minorHAnsi"/>
          <w:color w:val="000000" w:themeColor="text1"/>
        </w:rPr>
        <w:t>Sharing</w:t>
      </w:r>
      <w:r w:rsidR="00DA4BE9">
        <w:rPr>
          <w:rFonts w:eastAsia="Calibri Light" w:cstheme="minorHAnsi"/>
          <w:color w:val="000000" w:themeColor="text1"/>
        </w:rPr>
        <w:t>,</w:t>
      </w:r>
      <w:r w:rsidRPr="00661ABE">
        <w:rPr>
          <w:rFonts w:eastAsia="Calibri Light" w:cstheme="minorHAnsi"/>
          <w:color w:val="000000" w:themeColor="text1"/>
        </w:rPr>
        <w:t xml:space="preserve"> signposting</w:t>
      </w:r>
      <w:r w:rsidR="00DA4BE9">
        <w:rPr>
          <w:rFonts w:eastAsia="Calibri Light" w:cstheme="minorHAnsi"/>
          <w:color w:val="000000" w:themeColor="text1"/>
        </w:rPr>
        <w:t xml:space="preserve"> or contextualising</w:t>
      </w:r>
      <w:r w:rsidRPr="00661ABE">
        <w:rPr>
          <w:rFonts w:eastAsia="Calibri Light" w:cstheme="minorHAnsi"/>
          <w:color w:val="000000" w:themeColor="text1"/>
        </w:rPr>
        <w:t xml:space="preserve"> training resources and tools.</w:t>
      </w:r>
    </w:p>
    <w:p w14:paraId="116F5BC6" w14:textId="2DD6BA9B" w:rsidR="00B7415D" w:rsidRPr="00661ABE" w:rsidRDefault="00B7415D" w:rsidP="00B7415D">
      <w:pPr>
        <w:pStyle w:val="ListParagraph"/>
        <w:numPr>
          <w:ilvl w:val="0"/>
          <w:numId w:val="8"/>
        </w:numPr>
        <w:spacing w:line="240" w:lineRule="auto"/>
        <w:jc w:val="both"/>
        <w:rPr>
          <w:rFonts w:cstheme="minorHAnsi"/>
          <w:color w:val="000000" w:themeColor="text1"/>
        </w:rPr>
      </w:pPr>
      <w:r w:rsidRPr="00661ABE">
        <w:rPr>
          <w:rFonts w:eastAsia="Calibri Light" w:cstheme="minorHAnsi"/>
          <w:color w:val="000000" w:themeColor="text1"/>
        </w:rPr>
        <w:t>Providing psychological support and solidarity.</w:t>
      </w:r>
    </w:p>
    <w:p w14:paraId="782085A1" w14:textId="4C7E294A" w:rsidR="00B7415D" w:rsidRPr="00661ABE" w:rsidRDefault="00B7415D" w:rsidP="00B7415D">
      <w:pPr>
        <w:pStyle w:val="ListParagraph"/>
        <w:numPr>
          <w:ilvl w:val="0"/>
          <w:numId w:val="8"/>
        </w:numPr>
        <w:spacing w:line="240" w:lineRule="auto"/>
        <w:jc w:val="both"/>
        <w:rPr>
          <w:color w:val="000000" w:themeColor="text1"/>
        </w:rPr>
      </w:pPr>
      <w:r w:rsidRPr="4EBDDD3C">
        <w:rPr>
          <w:rFonts w:eastAsia="Calibri Light"/>
          <w:color w:val="000000" w:themeColor="text1"/>
        </w:rPr>
        <w:t xml:space="preserve">In addition, both UK and LMIC partners can benefit from innovations developed to deal with COVID-19 and </w:t>
      </w:r>
      <w:r w:rsidR="00622291">
        <w:rPr>
          <w:rFonts w:eastAsia="Calibri Light"/>
          <w:color w:val="000000" w:themeColor="text1"/>
        </w:rPr>
        <w:t>previous</w:t>
      </w:r>
      <w:r w:rsidRPr="4EBDDD3C">
        <w:rPr>
          <w:rFonts w:eastAsia="Calibri Light"/>
          <w:color w:val="000000" w:themeColor="text1"/>
        </w:rPr>
        <w:t xml:space="preserve"> pandemics in low-resource settings.</w:t>
      </w:r>
    </w:p>
    <w:p w14:paraId="1A13CD91" w14:textId="0CDEDD7F" w:rsidR="00E45ACA" w:rsidRPr="00E45ACA" w:rsidRDefault="00E45ACA" w:rsidP="00E45ACA">
      <w:pPr>
        <w:spacing w:line="240" w:lineRule="auto"/>
        <w:jc w:val="both"/>
        <w:rPr>
          <w:rFonts w:cstheme="minorHAnsi"/>
          <w:sz w:val="20"/>
          <w:szCs w:val="20"/>
        </w:rPr>
      </w:pPr>
      <w:r w:rsidRPr="00E45ACA">
        <w:rPr>
          <w:rFonts w:cstheme="minorHAnsi"/>
          <w:sz w:val="20"/>
          <w:szCs w:val="20"/>
        </w:rPr>
        <w:t>Applications</w:t>
      </w:r>
      <w:r w:rsidR="00C67A11">
        <w:rPr>
          <w:rFonts w:cstheme="minorHAnsi"/>
          <w:sz w:val="20"/>
          <w:szCs w:val="20"/>
        </w:rPr>
        <w:t xml:space="preserve"> </w:t>
      </w:r>
      <w:r w:rsidR="007373DD">
        <w:rPr>
          <w:rFonts w:cstheme="minorHAnsi"/>
          <w:sz w:val="20"/>
          <w:szCs w:val="20"/>
        </w:rPr>
        <w:t xml:space="preserve">must be submitted by </w:t>
      </w:r>
      <w:r w:rsidR="003E1738">
        <w:rPr>
          <w:rFonts w:cstheme="minorHAnsi"/>
          <w:sz w:val="20"/>
          <w:szCs w:val="20"/>
        </w:rPr>
        <w:t xml:space="preserve">23:59 on the </w:t>
      </w:r>
      <w:r w:rsidR="007373DD">
        <w:rPr>
          <w:rFonts w:cstheme="minorHAnsi"/>
          <w:sz w:val="20"/>
          <w:szCs w:val="20"/>
        </w:rPr>
        <w:t>15</w:t>
      </w:r>
      <w:r w:rsidR="007373DD" w:rsidRPr="00B62E71">
        <w:rPr>
          <w:rFonts w:cstheme="minorHAnsi"/>
          <w:sz w:val="20"/>
          <w:szCs w:val="20"/>
          <w:vertAlign w:val="superscript"/>
        </w:rPr>
        <w:t>th</w:t>
      </w:r>
      <w:r w:rsidR="007373DD">
        <w:rPr>
          <w:rFonts w:cstheme="minorHAnsi"/>
          <w:sz w:val="20"/>
          <w:szCs w:val="20"/>
        </w:rPr>
        <w:t xml:space="preserve"> November</w:t>
      </w:r>
      <w:r w:rsidR="00733C96">
        <w:rPr>
          <w:rFonts w:cstheme="minorHAnsi"/>
          <w:sz w:val="20"/>
          <w:szCs w:val="20"/>
        </w:rPr>
        <w:t xml:space="preserve"> </w:t>
      </w:r>
      <w:r w:rsidRPr="00E45ACA">
        <w:rPr>
          <w:rFonts w:cstheme="minorHAnsi"/>
          <w:sz w:val="20"/>
          <w:szCs w:val="20"/>
        </w:rPr>
        <w:t>2020.</w:t>
      </w:r>
      <w:r>
        <w:rPr>
          <w:rFonts w:cstheme="minorHAnsi"/>
          <w:sz w:val="20"/>
          <w:szCs w:val="20"/>
        </w:rPr>
        <w:t xml:space="preserve"> </w:t>
      </w:r>
      <w:r w:rsidRPr="00B62E71">
        <w:rPr>
          <w:rFonts w:cstheme="minorHAnsi"/>
          <w:sz w:val="20"/>
          <w:szCs w:val="20"/>
          <w:u w:val="single"/>
        </w:rPr>
        <w:t>£</w:t>
      </w:r>
      <w:r w:rsidR="00211FEB" w:rsidRPr="00B62E71">
        <w:rPr>
          <w:rFonts w:cstheme="minorHAnsi"/>
          <w:sz w:val="20"/>
          <w:szCs w:val="20"/>
          <w:u w:val="single"/>
        </w:rPr>
        <w:t>10</w:t>
      </w:r>
      <w:r w:rsidR="00AA6062" w:rsidRPr="00B62E71">
        <w:rPr>
          <w:rFonts w:cstheme="minorHAnsi"/>
          <w:sz w:val="20"/>
          <w:szCs w:val="20"/>
          <w:u w:val="single"/>
        </w:rPr>
        <w:t>,000</w:t>
      </w:r>
      <w:r w:rsidRPr="00B62E71">
        <w:rPr>
          <w:rFonts w:cstheme="minorHAnsi"/>
          <w:sz w:val="20"/>
          <w:szCs w:val="20"/>
          <w:u w:val="single"/>
        </w:rPr>
        <w:t xml:space="preserve"> will be available per project</w:t>
      </w:r>
      <w:r w:rsidR="009C2115">
        <w:rPr>
          <w:rFonts w:cstheme="minorHAnsi"/>
          <w:sz w:val="20"/>
          <w:szCs w:val="20"/>
        </w:rPr>
        <w:t>, with projects lasting for up to 6 months</w:t>
      </w:r>
      <w:r w:rsidR="00865237">
        <w:rPr>
          <w:rFonts w:cstheme="minorHAnsi"/>
          <w:sz w:val="20"/>
          <w:szCs w:val="20"/>
        </w:rPr>
        <w:t>, starting on</w:t>
      </w:r>
      <w:r w:rsidR="003E1738">
        <w:rPr>
          <w:rFonts w:cstheme="minorHAnsi"/>
          <w:sz w:val="20"/>
          <w:szCs w:val="20"/>
        </w:rPr>
        <w:t xml:space="preserve"> 1</w:t>
      </w:r>
      <w:r w:rsidR="003E1738" w:rsidRPr="00B62E71">
        <w:rPr>
          <w:rFonts w:cstheme="minorHAnsi"/>
          <w:sz w:val="20"/>
          <w:szCs w:val="20"/>
          <w:vertAlign w:val="superscript"/>
        </w:rPr>
        <w:t>st</w:t>
      </w:r>
      <w:r w:rsidR="003E1738">
        <w:rPr>
          <w:rFonts w:cstheme="minorHAnsi"/>
          <w:sz w:val="20"/>
          <w:szCs w:val="20"/>
        </w:rPr>
        <w:t xml:space="preserve"> February</w:t>
      </w:r>
      <w:r w:rsidR="00865237">
        <w:rPr>
          <w:rFonts w:cstheme="minorHAnsi"/>
          <w:sz w:val="20"/>
          <w:szCs w:val="20"/>
        </w:rPr>
        <w:t xml:space="preserve"> 2021 and running</w:t>
      </w:r>
      <w:r w:rsidR="003572AF">
        <w:rPr>
          <w:rFonts w:cstheme="minorHAnsi"/>
          <w:sz w:val="20"/>
          <w:szCs w:val="20"/>
        </w:rPr>
        <w:t xml:space="preserve"> up</w:t>
      </w:r>
      <w:r w:rsidR="00865237">
        <w:rPr>
          <w:rFonts w:cstheme="minorHAnsi"/>
          <w:sz w:val="20"/>
          <w:szCs w:val="20"/>
        </w:rPr>
        <w:t xml:space="preserve"> until</w:t>
      </w:r>
      <w:r w:rsidR="003572AF">
        <w:rPr>
          <w:rFonts w:cstheme="minorHAnsi"/>
          <w:sz w:val="20"/>
          <w:szCs w:val="20"/>
        </w:rPr>
        <w:t xml:space="preserve"> no later than the 31</w:t>
      </w:r>
      <w:r w:rsidR="003572AF" w:rsidRPr="00B62E71">
        <w:rPr>
          <w:rFonts w:cstheme="minorHAnsi"/>
          <w:sz w:val="20"/>
          <w:szCs w:val="20"/>
          <w:vertAlign w:val="superscript"/>
        </w:rPr>
        <w:t>st</w:t>
      </w:r>
      <w:r w:rsidR="003572AF">
        <w:rPr>
          <w:rFonts w:cstheme="minorHAnsi"/>
          <w:sz w:val="20"/>
          <w:szCs w:val="20"/>
        </w:rPr>
        <w:t xml:space="preserve"> Jul</w:t>
      </w:r>
      <w:r w:rsidR="00920282">
        <w:rPr>
          <w:rFonts w:cstheme="minorHAnsi"/>
          <w:sz w:val="20"/>
          <w:szCs w:val="20"/>
        </w:rPr>
        <w:t>y</w:t>
      </w:r>
      <w:r w:rsidR="00865237">
        <w:rPr>
          <w:rFonts w:cstheme="minorHAnsi"/>
          <w:sz w:val="20"/>
          <w:szCs w:val="20"/>
        </w:rPr>
        <w:t xml:space="preserve"> 2021</w:t>
      </w:r>
      <w:r w:rsidR="009C2115">
        <w:rPr>
          <w:rFonts w:cstheme="minorHAnsi"/>
          <w:sz w:val="20"/>
          <w:szCs w:val="20"/>
        </w:rPr>
        <w:t>.</w:t>
      </w:r>
      <w:r w:rsidR="001D0E19">
        <w:rPr>
          <w:rFonts w:cstheme="minorHAnsi"/>
          <w:sz w:val="20"/>
          <w:szCs w:val="20"/>
        </w:rPr>
        <w:t xml:space="preserve"> </w:t>
      </w:r>
      <w:r w:rsidR="00506750">
        <w:rPr>
          <w:rFonts w:cstheme="minorHAnsi"/>
          <w:sz w:val="20"/>
          <w:szCs w:val="20"/>
        </w:rPr>
        <w:t>Awards will be made in December 2020</w:t>
      </w:r>
      <w:r w:rsidR="007B1549">
        <w:rPr>
          <w:rFonts w:cstheme="minorHAnsi"/>
          <w:sz w:val="20"/>
          <w:szCs w:val="20"/>
        </w:rPr>
        <w:t xml:space="preserve"> and a second C</w:t>
      </w:r>
      <w:r w:rsidR="00916983">
        <w:rPr>
          <w:rFonts w:cstheme="minorHAnsi"/>
          <w:sz w:val="20"/>
          <w:szCs w:val="20"/>
        </w:rPr>
        <w:t>OVID-19 response fund will</w:t>
      </w:r>
      <w:r w:rsidR="00FF79F5">
        <w:rPr>
          <w:rFonts w:cstheme="minorHAnsi"/>
          <w:sz w:val="20"/>
          <w:szCs w:val="20"/>
        </w:rPr>
        <w:t xml:space="preserve"> then</w:t>
      </w:r>
      <w:r w:rsidR="00916983">
        <w:rPr>
          <w:rFonts w:cstheme="minorHAnsi"/>
          <w:sz w:val="20"/>
          <w:szCs w:val="20"/>
        </w:rPr>
        <w:t xml:space="preserve"> be launched</w:t>
      </w:r>
      <w:r w:rsidR="00FF79F5">
        <w:rPr>
          <w:rFonts w:cstheme="minorHAnsi"/>
          <w:sz w:val="20"/>
          <w:szCs w:val="20"/>
        </w:rPr>
        <w:t xml:space="preserve"> in 2021. </w:t>
      </w:r>
    </w:p>
    <w:p w14:paraId="3B00E771" w14:textId="2AADDF6B" w:rsidR="00B7415D" w:rsidRPr="00661ABE" w:rsidRDefault="00B7415D" w:rsidP="00D24523">
      <w:pPr>
        <w:spacing w:after="120" w:line="240" w:lineRule="auto"/>
        <w:jc w:val="both"/>
        <w:rPr>
          <w:b/>
          <w:sz w:val="20"/>
          <w:szCs w:val="20"/>
        </w:rPr>
      </w:pPr>
      <w:r w:rsidRPr="36572566">
        <w:rPr>
          <w:b/>
          <w:sz w:val="20"/>
          <w:szCs w:val="20"/>
        </w:rPr>
        <w:t xml:space="preserve">It is against this background that THET invites established </w:t>
      </w:r>
      <w:r w:rsidR="00DB653F">
        <w:rPr>
          <w:b/>
          <w:sz w:val="20"/>
          <w:szCs w:val="20"/>
        </w:rPr>
        <w:t>HPs</w:t>
      </w:r>
      <w:r w:rsidRPr="36572566">
        <w:rPr>
          <w:b/>
          <w:sz w:val="20"/>
          <w:szCs w:val="20"/>
        </w:rPr>
        <w:t xml:space="preserve"> to </w:t>
      </w:r>
      <w:r w:rsidR="00661ABE" w:rsidRPr="36572566">
        <w:rPr>
          <w:b/>
          <w:sz w:val="20"/>
          <w:szCs w:val="20"/>
        </w:rPr>
        <w:t xml:space="preserve">apply for funding as part of the UKPHS </w:t>
      </w:r>
      <w:r w:rsidR="6CC342EF" w:rsidRPr="36572566">
        <w:rPr>
          <w:b/>
          <w:bCs/>
          <w:sz w:val="20"/>
          <w:szCs w:val="20"/>
        </w:rPr>
        <w:t>COVID</w:t>
      </w:r>
      <w:r w:rsidR="00661ABE" w:rsidRPr="36572566">
        <w:rPr>
          <w:b/>
          <w:sz w:val="20"/>
          <w:szCs w:val="20"/>
        </w:rPr>
        <w:t>-19 Response Fund.</w:t>
      </w:r>
    </w:p>
    <w:p w14:paraId="4D729722" w14:textId="77777777" w:rsidR="00D24523" w:rsidRPr="00D24523" w:rsidRDefault="00D24523" w:rsidP="00D24523">
      <w:pPr>
        <w:pBdr>
          <w:top w:val="single" w:sz="24" w:space="0" w:color="C4E5F5"/>
          <w:left w:val="single" w:sz="24" w:space="0" w:color="C4E5F5"/>
          <w:bottom w:val="single" w:sz="24" w:space="0" w:color="C4E5F5"/>
          <w:right w:val="single" w:sz="24" w:space="0" w:color="C4E5F5"/>
        </w:pBdr>
        <w:shd w:val="clear" w:color="auto" w:fill="C4E5F5"/>
        <w:spacing w:before="100" w:after="0" w:line="276" w:lineRule="auto"/>
        <w:outlineLvl w:val="1"/>
        <w:rPr>
          <w:rFonts w:ascii="Calibri" w:eastAsia="Yu Mincho" w:hAnsi="Calibri" w:cs="Arial"/>
          <w:caps/>
          <w:spacing w:val="15"/>
          <w:sz w:val="20"/>
          <w:szCs w:val="20"/>
          <w:lang w:val="en-US"/>
        </w:rPr>
      </w:pPr>
      <w:r w:rsidRPr="00D24523">
        <w:rPr>
          <w:rFonts w:ascii="Calibri" w:eastAsia="Yu Mincho" w:hAnsi="Calibri" w:cs="Arial"/>
          <w:caps/>
          <w:spacing w:val="15"/>
          <w:sz w:val="20"/>
          <w:szCs w:val="20"/>
          <w:lang w:val="en-US"/>
        </w:rPr>
        <w:t>APPROACH</w:t>
      </w:r>
    </w:p>
    <w:p w14:paraId="3ED8E104" w14:textId="401CCE04" w:rsidR="00D24523" w:rsidRDefault="00D24523" w:rsidP="00D24523">
      <w:pPr>
        <w:spacing w:after="0" w:line="240" w:lineRule="auto"/>
        <w:jc w:val="both"/>
        <w:rPr>
          <w:sz w:val="20"/>
          <w:szCs w:val="20"/>
        </w:rPr>
      </w:pPr>
    </w:p>
    <w:p w14:paraId="18CADB4B" w14:textId="4C24C6B6" w:rsidR="00D24523" w:rsidRPr="00713714" w:rsidRDefault="00D24523" w:rsidP="2D5490B5">
      <w:pPr>
        <w:spacing w:line="240" w:lineRule="auto"/>
        <w:jc w:val="both"/>
        <w:rPr>
          <w:sz w:val="20"/>
          <w:szCs w:val="20"/>
        </w:rPr>
      </w:pPr>
      <w:r w:rsidRPr="2D5490B5">
        <w:rPr>
          <w:sz w:val="20"/>
          <w:szCs w:val="20"/>
        </w:rPr>
        <w:t>All proposals must aim to</w:t>
      </w:r>
      <w:r w:rsidR="00EC230C" w:rsidRPr="2D5490B5">
        <w:rPr>
          <w:sz w:val="20"/>
          <w:szCs w:val="20"/>
        </w:rPr>
        <w:t xml:space="preserve"> address gaps in skills and knowledge to prevent and treat COVID-19</w:t>
      </w:r>
      <w:r w:rsidR="00257E51">
        <w:rPr>
          <w:sz w:val="20"/>
          <w:szCs w:val="20"/>
        </w:rPr>
        <w:t xml:space="preserve">, </w:t>
      </w:r>
      <w:r w:rsidR="00EC230C" w:rsidRPr="2D5490B5">
        <w:rPr>
          <w:sz w:val="20"/>
          <w:szCs w:val="20"/>
        </w:rPr>
        <w:t xml:space="preserve">support the safety and well-being of health workers in LMICs, </w:t>
      </w:r>
      <w:r w:rsidR="00257E51">
        <w:rPr>
          <w:sz w:val="20"/>
          <w:szCs w:val="20"/>
        </w:rPr>
        <w:t xml:space="preserve">and/or </w:t>
      </w:r>
      <w:r w:rsidR="002148FA" w:rsidRPr="002148FA">
        <w:rPr>
          <w:sz w:val="20"/>
          <w:szCs w:val="20"/>
        </w:rPr>
        <w:t>provide support so that</w:t>
      </w:r>
      <w:r w:rsidR="00DC46A3" w:rsidRPr="00DC46A3">
        <w:rPr>
          <w:sz w:val="20"/>
          <w:szCs w:val="20"/>
        </w:rPr>
        <w:t xml:space="preserve"> essential health services </w:t>
      </w:r>
      <w:r w:rsidR="002148FA" w:rsidRPr="002148FA">
        <w:rPr>
          <w:sz w:val="20"/>
          <w:szCs w:val="20"/>
        </w:rPr>
        <w:t>can be provided in spite of COVID-19</w:t>
      </w:r>
      <w:r w:rsidR="00DC46A3" w:rsidRPr="00DC46A3">
        <w:rPr>
          <w:sz w:val="20"/>
          <w:szCs w:val="20"/>
        </w:rPr>
        <w:t xml:space="preserve"> risks and pressures</w:t>
      </w:r>
      <w:r w:rsidR="00B01135">
        <w:rPr>
          <w:sz w:val="20"/>
          <w:szCs w:val="20"/>
        </w:rPr>
        <w:t>.</w:t>
      </w:r>
      <w:r w:rsidRPr="2D5490B5">
        <w:rPr>
          <w:sz w:val="20"/>
          <w:szCs w:val="20"/>
        </w:rPr>
        <w:t xml:space="preserve"> </w:t>
      </w:r>
      <w:r w:rsidR="00DA5DFF" w:rsidRPr="2D5490B5">
        <w:rPr>
          <w:sz w:val="20"/>
          <w:szCs w:val="20"/>
        </w:rPr>
        <w:t>I</w:t>
      </w:r>
      <w:r w:rsidRPr="2D5490B5">
        <w:rPr>
          <w:sz w:val="20"/>
          <w:szCs w:val="20"/>
        </w:rPr>
        <w:t xml:space="preserve">t is not appropriate </w:t>
      </w:r>
      <w:r w:rsidR="005B0E3E" w:rsidRPr="2D5490B5">
        <w:rPr>
          <w:sz w:val="20"/>
          <w:szCs w:val="20"/>
        </w:rPr>
        <w:t xml:space="preserve">at present </w:t>
      </w:r>
      <w:r w:rsidRPr="2D5490B5">
        <w:rPr>
          <w:sz w:val="20"/>
          <w:szCs w:val="20"/>
        </w:rPr>
        <w:t>for individuals involved in H</w:t>
      </w:r>
      <w:r w:rsidR="00B01135">
        <w:rPr>
          <w:sz w:val="20"/>
          <w:szCs w:val="20"/>
        </w:rPr>
        <w:t>Ps</w:t>
      </w:r>
      <w:r w:rsidRPr="2D5490B5">
        <w:rPr>
          <w:sz w:val="20"/>
          <w:szCs w:val="20"/>
        </w:rPr>
        <w:t xml:space="preserve"> to support initiatives through international travel, </w:t>
      </w:r>
      <w:r w:rsidR="00300594">
        <w:rPr>
          <w:sz w:val="20"/>
          <w:szCs w:val="20"/>
        </w:rPr>
        <w:t>so</w:t>
      </w:r>
      <w:r w:rsidR="00DA5DFF" w:rsidRPr="2D5490B5">
        <w:rPr>
          <w:sz w:val="20"/>
          <w:szCs w:val="20"/>
        </w:rPr>
        <w:t xml:space="preserve"> </w:t>
      </w:r>
      <w:r w:rsidRPr="2D5490B5">
        <w:rPr>
          <w:sz w:val="20"/>
          <w:szCs w:val="20"/>
        </w:rPr>
        <w:t xml:space="preserve">we expect support to be provided </w:t>
      </w:r>
      <w:r w:rsidR="002148FA">
        <w:rPr>
          <w:sz w:val="20"/>
          <w:szCs w:val="20"/>
        </w:rPr>
        <w:t xml:space="preserve">to one another </w:t>
      </w:r>
      <w:r w:rsidRPr="2D5490B5">
        <w:rPr>
          <w:sz w:val="20"/>
          <w:szCs w:val="20"/>
        </w:rPr>
        <w:t>remotely by partners</w:t>
      </w:r>
      <w:r w:rsidR="002148FA">
        <w:rPr>
          <w:sz w:val="20"/>
          <w:szCs w:val="20"/>
        </w:rPr>
        <w:t>.</w:t>
      </w:r>
      <w:r w:rsidRPr="2D5490B5">
        <w:rPr>
          <w:sz w:val="20"/>
          <w:szCs w:val="20"/>
        </w:rPr>
        <w:t xml:space="preserve"> </w:t>
      </w:r>
    </w:p>
    <w:p w14:paraId="394B92C1" w14:textId="04A78856" w:rsidR="00D24523" w:rsidRPr="00713714" w:rsidRDefault="00D24523" w:rsidP="00D24523">
      <w:pPr>
        <w:spacing w:line="240" w:lineRule="auto"/>
        <w:jc w:val="both"/>
        <w:rPr>
          <w:sz w:val="20"/>
          <w:szCs w:val="20"/>
        </w:rPr>
      </w:pPr>
      <w:r w:rsidRPr="1C0A0CC0">
        <w:rPr>
          <w:sz w:val="20"/>
          <w:szCs w:val="20"/>
        </w:rPr>
        <w:t>Examples of approaches that funding can be used to support include, but are not limited to</w:t>
      </w:r>
      <w:r w:rsidR="00943174" w:rsidRPr="1C0A0CC0">
        <w:rPr>
          <w:rStyle w:val="FootnoteReference"/>
          <w:sz w:val="20"/>
          <w:szCs w:val="20"/>
        </w:rPr>
        <w:footnoteReference w:id="2"/>
      </w:r>
      <w:r w:rsidRPr="1C0A0CC0">
        <w:rPr>
          <w:sz w:val="20"/>
          <w:szCs w:val="20"/>
        </w:rPr>
        <w:t>:</w:t>
      </w:r>
    </w:p>
    <w:p w14:paraId="2349CD08" w14:textId="21984D59" w:rsidR="00D24523" w:rsidRPr="00713714" w:rsidRDefault="00D24523" w:rsidP="7AA17F45">
      <w:pPr>
        <w:numPr>
          <w:ilvl w:val="0"/>
          <w:numId w:val="2"/>
        </w:numPr>
        <w:spacing w:before="100" w:after="0" w:line="240" w:lineRule="auto"/>
        <w:ind w:left="360"/>
        <w:contextualSpacing/>
        <w:jc w:val="both"/>
        <w:rPr>
          <w:sz w:val="20"/>
          <w:szCs w:val="20"/>
        </w:rPr>
      </w:pPr>
      <w:r w:rsidRPr="7AA17F45">
        <w:rPr>
          <w:sz w:val="20"/>
          <w:szCs w:val="20"/>
        </w:rPr>
        <w:lastRenderedPageBreak/>
        <w:t xml:space="preserve">Remote training, mentoring and supervision on responding to COVID-19. This could include </w:t>
      </w:r>
      <w:r w:rsidR="008C1E13" w:rsidRPr="7AA17F45">
        <w:rPr>
          <w:sz w:val="20"/>
          <w:szCs w:val="20"/>
        </w:rPr>
        <w:t xml:space="preserve">training and mentoring in </w:t>
      </w:r>
      <w:r w:rsidRPr="7AA17F45">
        <w:rPr>
          <w:sz w:val="20"/>
          <w:szCs w:val="20"/>
        </w:rPr>
        <w:t xml:space="preserve">surveillance, implementation of IPC related measures, including use of PPE and hand hygiene, </w:t>
      </w:r>
      <w:r w:rsidR="002148FA">
        <w:rPr>
          <w:sz w:val="20"/>
          <w:szCs w:val="20"/>
        </w:rPr>
        <w:t>or</w:t>
      </w:r>
      <w:r w:rsidRPr="7AA17F45">
        <w:rPr>
          <w:sz w:val="20"/>
          <w:szCs w:val="20"/>
        </w:rPr>
        <w:t xml:space="preserve"> treatment of patients with COVID-19. </w:t>
      </w:r>
    </w:p>
    <w:p w14:paraId="614B7A5B" w14:textId="4EECA02D" w:rsidR="00D24523" w:rsidRPr="00713714" w:rsidRDefault="00D24523" w:rsidP="00D24523">
      <w:pPr>
        <w:numPr>
          <w:ilvl w:val="0"/>
          <w:numId w:val="2"/>
        </w:numPr>
        <w:spacing w:before="100" w:after="0" w:line="240" w:lineRule="auto"/>
        <w:ind w:left="360"/>
        <w:contextualSpacing/>
        <w:jc w:val="both"/>
        <w:rPr>
          <w:rFonts w:cstheme="minorHAnsi"/>
          <w:sz w:val="20"/>
          <w:szCs w:val="20"/>
        </w:rPr>
      </w:pPr>
      <w:r w:rsidRPr="00713714">
        <w:rPr>
          <w:rFonts w:cstheme="minorHAnsi"/>
          <w:sz w:val="20"/>
          <w:szCs w:val="20"/>
        </w:rPr>
        <w:t xml:space="preserve">Supporting data collection </w:t>
      </w:r>
      <w:r w:rsidR="00515786">
        <w:rPr>
          <w:rFonts w:cstheme="minorHAnsi"/>
          <w:sz w:val="20"/>
          <w:szCs w:val="20"/>
        </w:rPr>
        <w:t>and analysis</w:t>
      </w:r>
      <w:r w:rsidRPr="00713714">
        <w:rPr>
          <w:rFonts w:cstheme="minorHAnsi"/>
          <w:sz w:val="20"/>
          <w:szCs w:val="20"/>
        </w:rPr>
        <w:t xml:space="preserve"> related to COVID-19.</w:t>
      </w:r>
    </w:p>
    <w:p w14:paraId="27A1D5B8" w14:textId="77777777" w:rsidR="00D24523" w:rsidRPr="00713714" w:rsidRDefault="00D24523" w:rsidP="00D24523">
      <w:pPr>
        <w:numPr>
          <w:ilvl w:val="0"/>
          <w:numId w:val="2"/>
        </w:numPr>
        <w:spacing w:after="0" w:line="240" w:lineRule="auto"/>
        <w:ind w:left="360"/>
        <w:contextualSpacing/>
        <w:jc w:val="both"/>
        <w:rPr>
          <w:rFonts w:cstheme="minorHAnsi"/>
          <w:sz w:val="20"/>
          <w:szCs w:val="20"/>
        </w:rPr>
      </w:pPr>
      <w:r w:rsidRPr="00713714">
        <w:rPr>
          <w:rFonts w:cstheme="minorHAnsi"/>
          <w:sz w:val="20"/>
          <w:szCs w:val="20"/>
        </w:rPr>
        <w:t>Advice and guidance to national teams to consider response strategies and implementation.</w:t>
      </w:r>
    </w:p>
    <w:p w14:paraId="0690B376" w14:textId="2E20CA66" w:rsidR="00D24523" w:rsidRPr="00713714" w:rsidRDefault="00D24523" w:rsidP="2D5490B5">
      <w:pPr>
        <w:numPr>
          <w:ilvl w:val="0"/>
          <w:numId w:val="2"/>
        </w:numPr>
        <w:spacing w:after="0" w:line="240" w:lineRule="auto"/>
        <w:ind w:left="360"/>
        <w:contextualSpacing/>
        <w:jc w:val="both"/>
        <w:rPr>
          <w:sz w:val="20"/>
          <w:szCs w:val="20"/>
        </w:rPr>
      </w:pPr>
      <w:r w:rsidRPr="2D5490B5">
        <w:rPr>
          <w:sz w:val="20"/>
          <w:szCs w:val="20"/>
        </w:rPr>
        <w:t xml:space="preserve">Guidance on the </w:t>
      </w:r>
      <w:r w:rsidR="00BB4449" w:rsidRPr="2D5490B5">
        <w:rPr>
          <w:sz w:val="20"/>
          <w:szCs w:val="20"/>
        </w:rPr>
        <w:t>production</w:t>
      </w:r>
      <w:r w:rsidRPr="2D5490B5">
        <w:rPr>
          <w:sz w:val="20"/>
          <w:szCs w:val="20"/>
        </w:rPr>
        <w:t xml:space="preserve"> of materials necessary for effective IPC approved by the WHO</w:t>
      </w:r>
      <w:r w:rsidR="00B531DB">
        <w:rPr>
          <w:sz w:val="20"/>
          <w:szCs w:val="20"/>
        </w:rPr>
        <w:t xml:space="preserve"> (unfortunately the procurement of materials </w:t>
      </w:r>
      <w:r w:rsidR="00CB679F">
        <w:rPr>
          <w:sz w:val="20"/>
          <w:szCs w:val="20"/>
        </w:rPr>
        <w:t xml:space="preserve">for this </w:t>
      </w:r>
      <w:r w:rsidR="00B531DB">
        <w:rPr>
          <w:sz w:val="20"/>
          <w:szCs w:val="20"/>
        </w:rPr>
        <w:t xml:space="preserve">is not eligible under this </w:t>
      </w:r>
      <w:r w:rsidR="008B693F">
        <w:rPr>
          <w:sz w:val="20"/>
          <w:szCs w:val="20"/>
        </w:rPr>
        <w:t>call for applications</w:t>
      </w:r>
      <w:r w:rsidR="00B531DB">
        <w:rPr>
          <w:sz w:val="20"/>
          <w:szCs w:val="20"/>
        </w:rPr>
        <w:t>)</w:t>
      </w:r>
      <w:r w:rsidRPr="2D5490B5">
        <w:rPr>
          <w:sz w:val="20"/>
          <w:szCs w:val="20"/>
        </w:rPr>
        <w:t>.</w:t>
      </w:r>
    </w:p>
    <w:p w14:paraId="78417182" w14:textId="563CFB21" w:rsidR="00D24523" w:rsidRPr="00713714" w:rsidRDefault="00D24523" w:rsidP="00D24523">
      <w:pPr>
        <w:numPr>
          <w:ilvl w:val="0"/>
          <w:numId w:val="2"/>
        </w:numPr>
        <w:spacing w:after="0" w:line="240" w:lineRule="auto"/>
        <w:ind w:left="360"/>
        <w:contextualSpacing/>
        <w:jc w:val="both"/>
        <w:rPr>
          <w:rFonts w:cstheme="minorHAnsi"/>
          <w:sz w:val="20"/>
          <w:szCs w:val="20"/>
        </w:rPr>
      </w:pPr>
      <w:r w:rsidRPr="00713714">
        <w:rPr>
          <w:rFonts w:cstheme="minorHAnsi"/>
          <w:sz w:val="20"/>
          <w:szCs w:val="20"/>
        </w:rPr>
        <w:t>Support for the development</w:t>
      </w:r>
      <w:r w:rsidR="00D77047">
        <w:rPr>
          <w:rFonts w:cstheme="minorHAnsi"/>
          <w:sz w:val="20"/>
          <w:szCs w:val="20"/>
        </w:rPr>
        <w:t>, printing</w:t>
      </w:r>
      <w:r w:rsidRPr="00713714">
        <w:rPr>
          <w:rFonts w:cstheme="minorHAnsi"/>
          <w:sz w:val="20"/>
          <w:szCs w:val="20"/>
        </w:rPr>
        <w:t xml:space="preserve"> and/or distribution of public health information/ communication materials (in line with WHO guidance and national strategies). Reminders/posters are </w:t>
      </w:r>
      <w:r w:rsidR="008B693F">
        <w:rPr>
          <w:rFonts w:cstheme="minorHAnsi"/>
          <w:sz w:val="20"/>
          <w:szCs w:val="20"/>
        </w:rPr>
        <w:t>often</w:t>
      </w:r>
      <w:r w:rsidRPr="00713714">
        <w:rPr>
          <w:rFonts w:cstheme="minorHAnsi"/>
          <w:sz w:val="20"/>
          <w:szCs w:val="20"/>
        </w:rPr>
        <w:t xml:space="preserve"> used to remind all health workers as well as patients and visitors about hand hygiene as part of a multifaceted approach to support behaviour change. </w:t>
      </w:r>
    </w:p>
    <w:p w14:paraId="0D8BE1AB" w14:textId="77777777" w:rsidR="00DE25C5" w:rsidRDefault="00D24523" w:rsidP="00DE25C5">
      <w:pPr>
        <w:numPr>
          <w:ilvl w:val="0"/>
          <w:numId w:val="2"/>
        </w:numPr>
        <w:spacing w:line="240" w:lineRule="auto"/>
        <w:ind w:left="360"/>
        <w:contextualSpacing/>
        <w:jc w:val="both"/>
        <w:rPr>
          <w:rFonts w:cstheme="minorHAnsi"/>
          <w:sz w:val="20"/>
          <w:szCs w:val="20"/>
        </w:rPr>
      </w:pPr>
      <w:r w:rsidRPr="00713714">
        <w:rPr>
          <w:rFonts w:cstheme="minorHAnsi"/>
          <w:sz w:val="20"/>
          <w:szCs w:val="20"/>
        </w:rPr>
        <w:t>Interventions which support the psychological resilience or well-being of health workers</w:t>
      </w:r>
      <w:r w:rsidR="000A0F3F">
        <w:rPr>
          <w:rFonts w:cstheme="minorHAnsi"/>
          <w:sz w:val="20"/>
          <w:szCs w:val="20"/>
        </w:rPr>
        <w:t>.</w:t>
      </w:r>
    </w:p>
    <w:p w14:paraId="305EE679" w14:textId="77777777" w:rsidR="00DE25C5" w:rsidRDefault="00DE25C5" w:rsidP="00DE25C5">
      <w:pPr>
        <w:spacing w:line="240" w:lineRule="auto"/>
        <w:contextualSpacing/>
        <w:jc w:val="both"/>
        <w:rPr>
          <w:rFonts w:cstheme="minorHAnsi"/>
          <w:sz w:val="20"/>
          <w:szCs w:val="20"/>
        </w:rPr>
      </w:pPr>
    </w:p>
    <w:p w14:paraId="19EDA327" w14:textId="78797A20" w:rsidR="00EB12D1" w:rsidRPr="00DE25C5" w:rsidRDefault="00FA6CC2" w:rsidP="00DE25C5">
      <w:pPr>
        <w:spacing w:line="240" w:lineRule="auto"/>
        <w:contextualSpacing/>
        <w:jc w:val="both"/>
        <w:rPr>
          <w:sz w:val="20"/>
          <w:szCs w:val="20"/>
        </w:rPr>
      </w:pPr>
      <w:r w:rsidRPr="36572566">
        <w:rPr>
          <w:sz w:val="20"/>
          <w:szCs w:val="20"/>
        </w:rPr>
        <w:t>Applicants are advised to consider how their intervention</w:t>
      </w:r>
      <w:r w:rsidR="00D77047">
        <w:rPr>
          <w:sz w:val="20"/>
          <w:szCs w:val="20"/>
        </w:rPr>
        <w:t xml:space="preserve"> will</w:t>
      </w:r>
      <w:r w:rsidR="004A69F2" w:rsidRPr="36572566">
        <w:rPr>
          <w:sz w:val="20"/>
          <w:szCs w:val="20"/>
        </w:rPr>
        <w:t xml:space="preserve"> </w:t>
      </w:r>
      <w:r w:rsidR="006A4F65" w:rsidRPr="36572566">
        <w:rPr>
          <w:sz w:val="20"/>
          <w:szCs w:val="20"/>
        </w:rPr>
        <w:t xml:space="preserve">take an approach which ensures </w:t>
      </w:r>
      <w:r w:rsidR="0070133D" w:rsidRPr="36572566">
        <w:rPr>
          <w:sz w:val="20"/>
          <w:szCs w:val="20"/>
        </w:rPr>
        <w:t>vulnerable are not left behind</w:t>
      </w:r>
      <w:r w:rsidR="00801284" w:rsidRPr="36572566">
        <w:rPr>
          <w:sz w:val="20"/>
          <w:szCs w:val="20"/>
        </w:rPr>
        <w:t>, and th</w:t>
      </w:r>
      <w:r w:rsidR="00E551F4" w:rsidRPr="36572566">
        <w:rPr>
          <w:sz w:val="20"/>
          <w:szCs w:val="20"/>
        </w:rPr>
        <w:t xml:space="preserve">at </w:t>
      </w:r>
      <w:r w:rsidR="00B9091D" w:rsidRPr="36572566">
        <w:rPr>
          <w:sz w:val="20"/>
          <w:szCs w:val="20"/>
        </w:rPr>
        <w:t xml:space="preserve">steps are taken to reduce indirect impacts of any </w:t>
      </w:r>
      <w:r w:rsidR="718F5630" w:rsidRPr="36572566">
        <w:rPr>
          <w:sz w:val="20"/>
          <w:szCs w:val="20"/>
        </w:rPr>
        <w:t>COVID</w:t>
      </w:r>
      <w:r w:rsidR="00B9091D" w:rsidRPr="36572566">
        <w:rPr>
          <w:sz w:val="20"/>
          <w:szCs w:val="20"/>
        </w:rPr>
        <w:t>-19 response</w:t>
      </w:r>
      <w:r w:rsidR="00B854E4" w:rsidRPr="36572566">
        <w:rPr>
          <w:sz w:val="20"/>
          <w:szCs w:val="20"/>
        </w:rPr>
        <w:t>, particularly in terms of increasing gender disparities</w:t>
      </w:r>
      <w:r w:rsidR="0070133D" w:rsidRPr="36572566">
        <w:rPr>
          <w:sz w:val="20"/>
          <w:szCs w:val="20"/>
        </w:rPr>
        <w:t xml:space="preserve">. </w:t>
      </w:r>
      <w:r w:rsidR="006A4AE0" w:rsidRPr="36572566">
        <w:rPr>
          <w:sz w:val="20"/>
          <w:szCs w:val="20"/>
        </w:rPr>
        <w:t xml:space="preserve">Partnerships </w:t>
      </w:r>
      <w:r w:rsidR="00CE53FC">
        <w:rPr>
          <w:sz w:val="20"/>
          <w:szCs w:val="20"/>
        </w:rPr>
        <w:t>can</w:t>
      </w:r>
      <w:r w:rsidR="00CE53FC" w:rsidRPr="36572566">
        <w:rPr>
          <w:sz w:val="20"/>
          <w:szCs w:val="20"/>
        </w:rPr>
        <w:t xml:space="preserve"> </w:t>
      </w:r>
      <w:r w:rsidR="006A4AE0" w:rsidRPr="36572566">
        <w:rPr>
          <w:sz w:val="20"/>
          <w:szCs w:val="20"/>
        </w:rPr>
        <w:t xml:space="preserve">consider </w:t>
      </w:r>
      <w:r w:rsidR="002B70D7" w:rsidRPr="36572566">
        <w:rPr>
          <w:sz w:val="20"/>
          <w:szCs w:val="20"/>
        </w:rPr>
        <w:t>interventions which</w:t>
      </w:r>
      <w:r w:rsidR="00EB12D1" w:rsidRPr="36572566">
        <w:rPr>
          <w:sz w:val="20"/>
          <w:szCs w:val="20"/>
        </w:rPr>
        <w:t>:</w:t>
      </w:r>
    </w:p>
    <w:p w14:paraId="52E39FE0" w14:textId="73AA00A4" w:rsidR="00D9633C" w:rsidRDefault="00C7403E" w:rsidP="00EB12D1">
      <w:pPr>
        <w:pStyle w:val="ListParagraph"/>
        <w:numPr>
          <w:ilvl w:val="0"/>
          <w:numId w:val="9"/>
        </w:numPr>
        <w:spacing w:after="0" w:line="240" w:lineRule="auto"/>
        <w:jc w:val="both"/>
        <w:rPr>
          <w:rFonts w:cstheme="minorHAnsi"/>
        </w:rPr>
      </w:pPr>
      <w:r>
        <w:rPr>
          <w:rFonts w:cstheme="minorHAnsi"/>
        </w:rPr>
        <w:t>demonstrate a gender-responsive emergency preparedness and/or response strategy</w:t>
      </w:r>
    </w:p>
    <w:p w14:paraId="29050CF6" w14:textId="17C63B41" w:rsidR="00EB12D1" w:rsidRDefault="002B6470" w:rsidP="00EB12D1">
      <w:pPr>
        <w:pStyle w:val="ListParagraph"/>
        <w:numPr>
          <w:ilvl w:val="0"/>
          <w:numId w:val="9"/>
        </w:numPr>
        <w:spacing w:after="0" w:line="240" w:lineRule="auto"/>
        <w:jc w:val="both"/>
        <w:rPr>
          <w:rFonts w:cstheme="minorHAnsi"/>
        </w:rPr>
      </w:pPr>
      <w:r>
        <w:rPr>
          <w:rFonts w:cstheme="minorHAnsi"/>
        </w:rPr>
        <w:t>consider</w:t>
      </w:r>
      <w:r w:rsidR="002B70D7" w:rsidRPr="00EB12D1">
        <w:rPr>
          <w:rFonts w:cstheme="minorHAnsi"/>
        </w:rPr>
        <w:t xml:space="preserve"> the gendered needs of health workers, which are often predominantly women</w:t>
      </w:r>
    </w:p>
    <w:p w14:paraId="51FE18F5" w14:textId="4E10A2FB" w:rsidR="00D9633C" w:rsidRDefault="003179E2" w:rsidP="00EB12D1">
      <w:pPr>
        <w:pStyle w:val="ListParagraph"/>
        <w:numPr>
          <w:ilvl w:val="0"/>
          <w:numId w:val="9"/>
        </w:numPr>
        <w:spacing w:after="0" w:line="240" w:lineRule="auto"/>
        <w:jc w:val="both"/>
      </w:pPr>
      <w:r w:rsidRPr="36572566">
        <w:t xml:space="preserve">support the collection and analysis of sex and gender disaggregated data related to </w:t>
      </w:r>
      <w:r w:rsidR="6C17E016" w:rsidRPr="36572566">
        <w:t>COVID</w:t>
      </w:r>
      <w:r w:rsidRPr="36572566">
        <w:t>-19</w:t>
      </w:r>
    </w:p>
    <w:p w14:paraId="1FEFFDB1" w14:textId="65090615" w:rsidR="00FB7921" w:rsidRDefault="00D9633C" w:rsidP="00BD3E6A">
      <w:pPr>
        <w:pStyle w:val="ListParagraph"/>
        <w:numPr>
          <w:ilvl w:val="0"/>
          <w:numId w:val="9"/>
        </w:numPr>
        <w:spacing w:line="240" w:lineRule="auto"/>
        <w:jc w:val="both"/>
      </w:pPr>
      <w:r w:rsidRPr="36572566">
        <w:t xml:space="preserve">consider </w:t>
      </w:r>
      <w:r w:rsidR="002C5B7B" w:rsidRPr="36572566">
        <w:t>conduct</w:t>
      </w:r>
      <w:r w:rsidRPr="36572566">
        <w:t>ing a</w:t>
      </w:r>
      <w:r w:rsidR="002C5B7B" w:rsidRPr="36572566">
        <w:t xml:space="preserve"> gender analysis of </w:t>
      </w:r>
      <w:r w:rsidR="4D6CE89E" w:rsidRPr="36572566">
        <w:t>COVID</w:t>
      </w:r>
      <w:r w:rsidR="002C5B7B" w:rsidRPr="36572566">
        <w:t>-19 to inform planning and response, including both primary short-term and long-term impacts</w:t>
      </w:r>
    </w:p>
    <w:p w14:paraId="7764130F" w14:textId="0A0F3FEC" w:rsidR="00E65F5E" w:rsidRDefault="00E65F5E" w:rsidP="00E65F5E">
      <w:pPr>
        <w:pStyle w:val="ListParagraph"/>
        <w:numPr>
          <w:ilvl w:val="0"/>
          <w:numId w:val="9"/>
        </w:numPr>
        <w:spacing w:line="240" w:lineRule="auto"/>
        <w:jc w:val="both"/>
      </w:pPr>
      <w:r>
        <w:t xml:space="preserve">include costs within the budget which allow for gender sensitive </w:t>
      </w:r>
      <w:r w:rsidR="00FB3305">
        <w:t>or</w:t>
      </w:r>
      <w:r>
        <w:t xml:space="preserve"> transformative approaches.</w:t>
      </w:r>
    </w:p>
    <w:p w14:paraId="553C180A" w14:textId="53B0B56D" w:rsidR="00E7568F" w:rsidRPr="00BD3E6A" w:rsidRDefault="00E65F5E" w:rsidP="004A32E2">
      <w:pPr>
        <w:spacing w:line="240" w:lineRule="auto"/>
        <w:jc w:val="both"/>
        <w:rPr>
          <w:sz w:val="20"/>
          <w:szCs w:val="20"/>
        </w:rPr>
      </w:pPr>
      <w:r w:rsidRPr="00BD3E6A">
        <w:rPr>
          <w:sz w:val="20"/>
          <w:szCs w:val="20"/>
        </w:rPr>
        <w:t>While not a requirement, priority will be given to applicants who demonstrate</w:t>
      </w:r>
      <w:r>
        <w:rPr>
          <w:sz w:val="20"/>
          <w:szCs w:val="20"/>
        </w:rPr>
        <w:t xml:space="preserve"> that they have actively considered how to ensure their approach is </w:t>
      </w:r>
      <w:r w:rsidR="00E60471">
        <w:rPr>
          <w:sz w:val="20"/>
          <w:szCs w:val="20"/>
        </w:rPr>
        <w:t>GESI</w:t>
      </w:r>
      <w:r>
        <w:rPr>
          <w:sz w:val="20"/>
          <w:szCs w:val="20"/>
        </w:rPr>
        <w:t xml:space="preserve"> sensitive </w:t>
      </w:r>
      <w:r w:rsidR="00454522">
        <w:rPr>
          <w:sz w:val="20"/>
          <w:szCs w:val="20"/>
        </w:rPr>
        <w:t>or</w:t>
      </w:r>
      <w:r>
        <w:rPr>
          <w:sz w:val="20"/>
          <w:szCs w:val="20"/>
        </w:rPr>
        <w:t xml:space="preserve"> transformative. </w:t>
      </w:r>
      <w:r w:rsidR="00270381">
        <w:rPr>
          <w:sz w:val="20"/>
          <w:szCs w:val="20"/>
        </w:rPr>
        <w:t xml:space="preserve">Please see THET’s </w:t>
      </w:r>
      <w:hyperlink r:id="rId12" w:history="1">
        <w:r w:rsidR="00014A91" w:rsidRPr="00014A91">
          <w:rPr>
            <w:rStyle w:val="Hyperlink"/>
            <w:sz w:val="20"/>
            <w:szCs w:val="20"/>
          </w:rPr>
          <w:t>Gender</w:t>
        </w:r>
        <w:r w:rsidR="00014A91" w:rsidRPr="00014A91">
          <w:rPr>
            <w:rStyle w:val="Hyperlink"/>
            <w:sz w:val="20"/>
            <w:szCs w:val="20"/>
          </w:rPr>
          <w:t xml:space="preserve"> </w:t>
        </w:r>
        <w:r w:rsidR="00014A91" w:rsidRPr="00014A91">
          <w:rPr>
            <w:rStyle w:val="Hyperlink"/>
            <w:sz w:val="20"/>
            <w:szCs w:val="20"/>
          </w:rPr>
          <w:t xml:space="preserve">Equality </w:t>
        </w:r>
        <w:r w:rsidR="00E60471">
          <w:rPr>
            <w:rStyle w:val="Hyperlink"/>
            <w:sz w:val="20"/>
            <w:szCs w:val="20"/>
          </w:rPr>
          <w:t xml:space="preserve">and Social Inclusion </w:t>
        </w:r>
        <w:r w:rsidR="00014A91" w:rsidRPr="00014A91">
          <w:rPr>
            <w:rStyle w:val="Hyperlink"/>
            <w:sz w:val="20"/>
            <w:szCs w:val="20"/>
          </w:rPr>
          <w:t>Toolkit for H</w:t>
        </w:r>
        <w:r w:rsidR="00DB653F">
          <w:rPr>
            <w:rStyle w:val="Hyperlink"/>
            <w:sz w:val="20"/>
            <w:szCs w:val="20"/>
          </w:rPr>
          <w:t>Ps</w:t>
        </w:r>
      </w:hyperlink>
      <w:r w:rsidR="00014A91">
        <w:rPr>
          <w:sz w:val="20"/>
          <w:szCs w:val="20"/>
        </w:rPr>
        <w:t xml:space="preserve"> for further information.</w:t>
      </w:r>
    </w:p>
    <w:p w14:paraId="178D546D" w14:textId="2E43BEED" w:rsidR="00D24523" w:rsidRPr="000A0F3F" w:rsidRDefault="00AA1D17" w:rsidP="00931BB0">
      <w:pPr>
        <w:spacing w:before="240" w:line="240" w:lineRule="auto"/>
        <w:jc w:val="both"/>
        <w:rPr>
          <w:sz w:val="20"/>
          <w:szCs w:val="20"/>
        </w:rPr>
      </w:pPr>
      <w:r>
        <w:rPr>
          <w:sz w:val="20"/>
          <w:szCs w:val="20"/>
        </w:rPr>
        <w:t xml:space="preserve">Supporting the Year of the Nurse, </w:t>
      </w:r>
      <w:r w:rsidR="00E7568F">
        <w:rPr>
          <w:sz w:val="20"/>
          <w:szCs w:val="20"/>
        </w:rPr>
        <w:t xml:space="preserve">THET </w:t>
      </w:r>
      <w:r>
        <w:rPr>
          <w:sz w:val="20"/>
          <w:szCs w:val="20"/>
        </w:rPr>
        <w:t xml:space="preserve">particularly </w:t>
      </w:r>
      <w:r w:rsidR="000E57B9">
        <w:rPr>
          <w:sz w:val="20"/>
          <w:szCs w:val="20"/>
        </w:rPr>
        <w:t>welcomes applications which include the nursing profession</w:t>
      </w:r>
      <w:r>
        <w:rPr>
          <w:sz w:val="20"/>
          <w:szCs w:val="20"/>
        </w:rPr>
        <w:t>.</w:t>
      </w:r>
      <w:r w:rsidR="00E7568F">
        <w:rPr>
          <w:sz w:val="20"/>
          <w:szCs w:val="20"/>
        </w:rPr>
        <w:t xml:space="preserve"> </w:t>
      </w:r>
      <w:r w:rsidR="00D24523" w:rsidRPr="36572566">
        <w:rPr>
          <w:sz w:val="20"/>
          <w:szCs w:val="20"/>
        </w:rPr>
        <w:t xml:space="preserve">In all cases, proposals must align with international and national </w:t>
      </w:r>
      <w:r w:rsidR="43DA318C" w:rsidRPr="36572566">
        <w:rPr>
          <w:sz w:val="20"/>
          <w:szCs w:val="20"/>
        </w:rPr>
        <w:t>COVID</w:t>
      </w:r>
      <w:r w:rsidR="00D24523" w:rsidRPr="36572566">
        <w:rPr>
          <w:sz w:val="20"/>
          <w:szCs w:val="20"/>
        </w:rPr>
        <w:t>-19 response plans and priorities</w:t>
      </w:r>
      <w:r w:rsidR="00132A0B">
        <w:rPr>
          <w:sz w:val="20"/>
          <w:szCs w:val="20"/>
        </w:rPr>
        <w:t>,</w:t>
      </w:r>
      <w:r w:rsidR="00D24523">
        <w:rPr>
          <w:sz w:val="20"/>
          <w:szCs w:val="20"/>
        </w:rPr>
        <w:t xml:space="preserve"> and </w:t>
      </w:r>
      <w:r w:rsidR="00B64C15">
        <w:rPr>
          <w:sz w:val="20"/>
          <w:szCs w:val="20"/>
        </w:rPr>
        <w:t>support any national response.</w:t>
      </w:r>
      <w:r w:rsidR="3C63F238" w:rsidRPr="36572566">
        <w:rPr>
          <w:sz w:val="20"/>
          <w:szCs w:val="20"/>
        </w:rPr>
        <w:t xml:space="preserve"> </w:t>
      </w:r>
      <w:r w:rsidR="00B64C15">
        <w:rPr>
          <w:sz w:val="20"/>
          <w:szCs w:val="20"/>
        </w:rPr>
        <w:t>A</w:t>
      </w:r>
      <w:r w:rsidR="3C63F238" w:rsidRPr="36572566">
        <w:rPr>
          <w:sz w:val="20"/>
          <w:szCs w:val="20"/>
        </w:rPr>
        <w:t>pplicants</w:t>
      </w:r>
      <w:r w:rsidR="00D24523" w:rsidRPr="36572566">
        <w:rPr>
          <w:sz w:val="20"/>
          <w:szCs w:val="20"/>
        </w:rPr>
        <w:t xml:space="preserve"> will need to demonstrate that their initiative is not duplicating ongoing activities</w:t>
      </w:r>
      <w:r w:rsidR="00EE5D7B" w:rsidRPr="36572566">
        <w:rPr>
          <w:sz w:val="20"/>
          <w:szCs w:val="20"/>
        </w:rPr>
        <w:t xml:space="preserve"> or indirectly having a negative impact on the health system </w:t>
      </w:r>
      <w:r w:rsidR="00727D06" w:rsidRPr="36572566">
        <w:rPr>
          <w:sz w:val="20"/>
          <w:szCs w:val="20"/>
        </w:rPr>
        <w:t>in general.</w:t>
      </w:r>
    </w:p>
    <w:p w14:paraId="62B64A1C" w14:textId="33562360" w:rsidR="00D24523" w:rsidRPr="000A0F3F" w:rsidRDefault="00D24523" w:rsidP="00D24523">
      <w:pPr>
        <w:spacing w:line="240" w:lineRule="auto"/>
        <w:jc w:val="both"/>
        <w:rPr>
          <w:rFonts w:cstheme="minorHAnsi"/>
          <w:sz w:val="20"/>
          <w:szCs w:val="20"/>
        </w:rPr>
      </w:pPr>
      <w:r w:rsidRPr="000A0F3F">
        <w:rPr>
          <w:rFonts w:cstheme="minorHAnsi"/>
          <w:sz w:val="20"/>
          <w:szCs w:val="20"/>
        </w:rPr>
        <w:t>THET will assess applications based on whether the proposal is deliverable within the budget and timeframe proposed, however we do understand that this work will take place in highly complex and challenging environments with changing needs, and so will encourage a flexible approach that uses learning to continually adapt, ensuring that priorities are met in the most appropriate way.</w:t>
      </w:r>
    </w:p>
    <w:p w14:paraId="532709D6" w14:textId="77777777" w:rsidR="00D24523" w:rsidRPr="00D24523" w:rsidRDefault="00D24523" w:rsidP="00D24523">
      <w:pPr>
        <w:pBdr>
          <w:top w:val="single" w:sz="24" w:space="0" w:color="C4E5F5"/>
          <w:left w:val="single" w:sz="24" w:space="0" w:color="C4E5F5"/>
          <w:bottom w:val="single" w:sz="24" w:space="0" w:color="C4E5F5"/>
          <w:right w:val="single" w:sz="24" w:space="0" w:color="C4E5F5"/>
        </w:pBdr>
        <w:shd w:val="clear" w:color="auto" w:fill="C4E5F5"/>
        <w:spacing w:before="100" w:after="0" w:line="240" w:lineRule="auto"/>
        <w:outlineLvl w:val="1"/>
        <w:rPr>
          <w:rFonts w:ascii="Calibri" w:eastAsia="Yu Mincho" w:hAnsi="Calibri" w:cs="Calibri"/>
          <w:caps/>
          <w:spacing w:val="15"/>
          <w:sz w:val="20"/>
          <w:szCs w:val="20"/>
          <w:lang w:val="en-US"/>
        </w:rPr>
      </w:pPr>
      <w:r w:rsidRPr="00D24523">
        <w:rPr>
          <w:rFonts w:ascii="Calibri" w:eastAsia="Yu Mincho" w:hAnsi="Calibri" w:cs="Calibri"/>
          <w:caps/>
          <w:spacing w:val="15"/>
          <w:sz w:val="20"/>
          <w:szCs w:val="20"/>
          <w:lang w:val="en-US"/>
        </w:rPr>
        <w:t>Eligibility</w:t>
      </w:r>
    </w:p>
    <w:p w14:paraId="19A4BDA0" w14:textId="77777777" w:rsidR="00D24523" w:rsidRPr="002B30A7" w:rsidRDefault="00D24523" w:rsidP="00D24523">
      <w:pPr>
        <w:pStyle w:val="Heading3"/>
      </w:pPr>
      <w:r w:rsidRPr="002B30A7">
        <w:t>Core requirements and country eligibility</w:t>
      </w:r>
    </w:p>
    <w:p w14:paraId="600B5720" w14:textId="77777777" w:rsidR="00D24523" w:rsidRPr="00931BB0" w:rsidRDefault="00D24523" w:rsidP="00CD06E7">
      <w:pPr>
        <w:spacing w:line="240" w:lineRule="auto"/>
        <w:rPr>
          <w:sz w:val="20"/>
          <w:szCs w:val="20"/>
        </w:rPr>
      </w:pPr>
      <w:r w:rsidRPr="00931BB0">
        <w:rPr>
          <w:sz w:val="20"/>
          <w:szCs w:val="20"/>
        </w:rPr>
        <w:t>The core requirements for applications are:</w:t>
      </w:r>
    </w:p>
    <w:p w14:paraId="2E1A42B7" w14:textId="0ABD07E9" w:rsidR="00D24523" w:rsidRPr="00A4133C" w:rsidRDefault="00D24523" w:rsidP="7AA17F45">
      <w:pPr>
        <w:pStyle w:val="ListBullet"/>
        <w:numPr>
          <w:ilvl w:val="0"/>
          <w:numId w:val="4"/>
        </w:numPr>
        <w:rPr>
          <w:rStyle w:val="FootnoteReference"/>
          <w:b/>
          <w:sz w:val="20"/>
          <w:szCs w:val="20"/>
        </w:rPr>
      </w:pPr>
      <w:r w:rsidRPr="00931BB0">
        <w:rPr>
          <w:sz w:val="20"/>
          <w:szCs w:val="20"/>
        </w:rPr>
        <w:t xml:space="preserve">Applications must be made by an established </w:t>
      </w:r>
      <w:r w:rsidR="00DB653F">
        <w:rPr>
          <w:sz w:val="20"/>
          <w:szCs w:val="20"/>
        </w:rPr>
        <w:t>HP</w:t>
      </w:r>
      <w:r w:rsidRPr="00931BB0">
        <w:rPr>
          <w:sz w:val="20"/>
          <w:szCs w:val="20"/>
        </w:rPr>
        <w:t xml:space="preserve"> between a UK health institution and an LMIC health institution based in Sub Saharan Africa or South East Asia</w:t>
      </w:r>
      <w:r w:rsidR="00905456">
        <w:rPr>
          <w:sz w:val="20"/>
          <w:szCs w:val="20"/>
        </w:rPr>
        <w:t xml:space="preserve">. </w:t>
      </w:r>
      <w:r w:rsidR="00905456" w:rsidRPr="00931BB0">
        <w:rPr>
          <w:sz w:val="20"/>
          <w:szCs w:val="20"/>
        </w:rPr>
        <w:t>Projects must operate within a</w:t>
      </w:r>
      <w:r w:rsidR="00E94950">
        <w:rPr>
          <w:sz w:val="20"/>
          <w:szCs w:val="20"/>
        </w:rPr>
        <w:t>n eligible</w:t>
      </w:r>
      <w:r w:rsidR="00905456" w:rsidRPr="00931BB0">
        <w:rPr>
          <w:sz w:val="20"/>
          <w:szCs w:val="20"/>
        </w:rPr>
        <w:t xml:space="preserve"> country in South East Asia or Sub-Saharan Africa</w:t>
      </w:r>
      <w:r w:rsidR="00905456">
        <w:rPr>
          <w:rStyle w:val="FootnoteReference"/>
          <w:sz w:val="20"/>
          <w:szCs w:val="20"/>
        </w:rPr>
        <w:footnoteReference w:id="3"/>
      </w:r>
    </w:p>
    <w:p w14:paraId="407E2306" w14:textId="1EAD4090" w:rsidR="00D24523" w:rsidRPr="00931BB0" w:rsidRDefault="00D24523" w:rsidP="00CD06E7">
      <w:pPr>
        <w:pStyle w:val="ListBullet"/>
        <w:numPr>
          <w:ilvl w:val="0"/>
          <w:numId w:val="4"/>
        </w:numPr>
        <w:rPr>
          <w:sz w:val="20"/>
          <w:szCs w:val="20"/>
        </w:rPr>
      </w:pPr>
      <w:r w:rsidRPr="7AA17F45">
        <w:rPr>
          <w:sz w:val="20"/>
          <w:szCs w:val="20"/>
        </w:rPr>
        <w:t>Grants are for single, time-bound projects that are deliverable within the budget and timeframe proposed and agreed with THET</w:t>
      </w:r>
    </w:p>
    <w:p w14:paraId="5813DC02" w14:textId="0569FFF1" w:rsidR="00D24523" w:rsidRPr="00931BB0" w:rsidRDefault="00D24523" w:rsidP="00CD06E7">
      <w:pPr>
        <w:pStyle w:val="ListBullet"/>
        <w:numPr>
          <w:ilvl w:val="0"/>
          <w:numId w:val="4"/>
        </w:numPr>
        <w:rPr>
          <w:sz w:val="20"/>
          <w:szCs w:val="20"/>
        </w:rPr>
      </w:pPr>
      <w:r w:rsidRPr="7AA17F45">
        <w:rPr>
          <w:sz w:val="20"/>
          <w:szCs w:val="20"/>
        </w:rPr>
        <w:t xml:space="preserve">Projects must </w:t>
      </w:r>
      <w:r w:rsidR="003C2E7E" w:rsidRPr="7AA17F45">
        <w:rPr>
          <w:sz w:val="20"/>
          <w:szCs w:val="20"/>
        </w:rPr>
        <w:t xml:space="preserve">align with the aim of the UKPHS </w:t>
      </w:r>
      <w:r w:rsidR="5ACD0D89" w:rsidRPr="7AA17F45">
        <w:rPr>
          <w:sz w:val="20"/>
          <w:szCs w:val="20"/>
        </w:rPr>
        <w:t>COVID</w:t>
      </w:r>
      <w:r w:rsidR="472DF263" w:rsidRPr="7AA17F45">
        <w:rPr>
          <w:sz w:val="20"/>
          <w:szCs w:val="20"/>
        </w:rPr>
        <w:t xml:space="preserve">-19 </w:t>
      </w:r>
      <w:r w:rsidR="002B0847" w:rsidRPr="7AA17F45">
        <w:rPr>
          <w:sz w:val="20"/>
          <w:szCs w:val="20"/>
        </w:rPr>
        <w:t>Response</w:t>
      </w:r>
      <w:r w:rsidR="003C2E7E" w:rsidRPr="7AA17F45">
        <w:rPr>
          <w:sz w:val="20"/>
          <w:szCs w:val="20"/>
        </w:rPr>
        <w:t xml:space="preserve"> Fund - </w:t>
      </w:r>
      <w:r w:rsidR="006A4812" w:rsidRPr="7AA17F45">
        <w:rPr>
          <w:sz w:val="20"/>
          <w:szCs w:val="20"/>
        </w:rPr>
        <w:t>to address gaps in skills and knowledge to prevent and treat COVID-19 and support the safety and well-being of health workers in LMICs</w:t>
      </w:r>
      <w:r w:rsidR="00A655D0" w:rsidRPr="7AA17F45">
        <w:rPr>
          <w:sz w:val="20"/>
          <w:szCs w:val="20"/>
        </w:rPr>
        <w:t>,  and</w:t>
      </w:r>
      <w:r w:rsidR="00134010" w:rsidRPr="00134010">
        <w:rPr>
          <w:sz w:val="20"/>
          <w:szCs w:val="20"/>
        </w:rPr>
        <w:t>/or support essential</w:t>
      </w:r>
      <w:r w:rsidR="00A655D0" w:rsidRPr="7AA17F45">
        <w:rPr>
          <w:sz w:val="20"/>
          <w:szCs w:val="20"/>
        </w:rPr>
        <w:t xml:space="preserve"> health</w:t>
      </w:r>
      <w:r w:rsidR="00134010" w:rsidRPr="00134010">
        <w:rPr>
          <w:sz w:val="20"/>
          <w:szCs w:val="20"/>
        </w:rPr>
        <w:t xml:space="preserve"> services to manage risks and pressures resulting from COVID-19</w:t>
      </w:r>
    </w:p>
    <w:p w14:paraId="0CEC0DEC" w14:textId="77777777" w:rsidR="00D24523" w:rsidRPr="00931BB0" w:rsidRDefault="00D24523" w:rsidP="00CD06E7">
      <w:pPr>
        <w:pStyle w:val="ListBullet"/>
        <w:numPr>
          <w:ilvl w:val="0"/>
          <w:numId w:val="4"/>
        </w:numPr>
        <w:rPr>
          <w:sz w:val="20"/>
          <w:szCs w:val="20"/>
        </w:rPr>
      </w:pPr>
      <w:r w:rsidRPr="00931BB0">
        <w:rPr>
          <w:sz w:val="20"/>
          <w:szCs w:val="20"/>
        </w:rPr>
        <w:t>Applications must be made in English. THET cannot accept applications written in other languages.</w:t>
      </w:r>
    </w:p>
    <w:p w14:paraId="6D19148E" w14:textId="250C778B" w:rsidR="00D24523" w:rsidRPr="00D24523" w:rsidRDefault="00CA4414" w:rsidP="00D24523">
      <w:pPr>
        <w:pBdr>
          <w:top w:val="single" w:sz="6" w:space="2" w:color="186B94"/>
        </w:pBdr>
        <w:spacing w:before="300" w:after="0" w:line="240" w:lineRule="auto"/>
        <w:outlineLvl w:val="2"/>
        <w:rPr>
          <w:rFonts w:ascii="Calibri" w:eastAsia="Yu Mincho" w:hAnsi="Calibri" w:cs="Arial"/>
          <w:caps/>
          <w:color w:val="0C3449"/>
          <w:spacing w:val="15"/>
          <w:sz w:val="20"/>
          <w:szCs w:val="20"/>
          <w:lang w:val="en-US"/>
        </w:rPr>
      </w:pPr>
      <w:r>
        <w:rPr>
          <w:rFonts w:ascii="Calibri" w:eastAsia="Yu Mincho" w:hAnsi="Calibri" w:cs="Arial"/>
          <w:caps/>
          <w:color w:val="0C3449"/>
          <w:spacing w:val="15"/>
          <w:sz w:val="20"/>
          <w:szCs w:val="20"/>
          <w:lang w:val="en-US"/>
        </w:rPr>
        <w:t>INstitutiona</w:t>
      </w:r>
      <w:r w:rsidR="00D24523" w:rsidRPr="00D24523">
        <w:rPr>
          <w:rFonts w:ascii="Calibri" w:eastAsia="Yu Mincho" w:hAnsi="Calibri" w:cs="Arial"/>
          <w:caps/>
          <w:color w:val="0C3449"/>
          <w:spacing w:val="15"/>
          <w:sz w:val="20"/>
          <w:szCs w:val="20"/>
          <w:lang w:val="en-US"/>
        </w:rPr>
        <w:t>l eligibility</w:t>
      </w:r>
      <w:r w:rsidR="00D24523" w:rsidRPr="00D24523">
        <w:rPr>
          <w:rFonts w:ascii="Calibri" w:eastAsia="Yu Mincho" w:hAnsi="Calibri" w:cs="Arial"/>
          <w:caps/>
          <w:color w:val="0C3449"/>
          <w:spacing w:val="15"/>
          <w:sz w:val="20"/>
          <w:szCs w:val="20"/>
          <w:lang w:val="en-US"/>
        </w:rPr>
        <w:tab/>
      </w:r>
    </w:p>
    <w:p w14:paraId="76367FF2" w14:textId="306E88B6" w:rsidR="00D24523" w:rsidRPr="00F14DE2" w:rsidRDefault="00D24523" w:rsidP="00D24523">
      <w:pPr>
        <w:spacing w:before="100" w:after="0" w:line="240" w:lineRule="auto"/>
        <w:jc w:val="both"/>
        <w:rPr>
          <w:rFonts w:eastAsia="Yu Mincho" w:cstheme="minorHAnsi"/>
          <w:sz w:val="20"/>
          <w:szCs w:val="20"/>
          <w:lang w:val="en-US"/>
        </w:rPr>
      </w:pPr>
      <w:r w:rsidRPr="00F14DE2">
        <w:rPr>
          <w:rFonts w:eastAsia="Yu Mincho" w:cstheme="minorHAnsi"/>
          <w:sz w:val="20"/>
          <w:szCs w:val="20"/>
          <w:lang w:val="en-US"/>
        </w:rPr>
        <w:t xml:space="preserve">Established partnerships working in any LMIC in South-East Asia or Sub-Saharan Africa will be eligible for funding. We define an established partnership as one that has been working together for over 6 months, is formalised and institutionalised (for example </w:t>
      </w:r>
      <w:r w:rsidRPr="00F14DE2">
        <w:rPr>
          <w:rFonts w:eastAsia="Yu Mincho" w:cstheme="minorHAnsi"/>
          <w:sz w:val="20"/>
          <w:szCs w:val="20"/>
          <w:lang w:val="en-US"/>
        </w:rPr>
        <w:lastRenderedPageBreak/>
        <w:t>through a Memorandum of Understanding</w:t>
      </w:r>
      <w:r w:rsidR="006640E1">
        <w:rPr>
          <w:rFonts w:eastAsia="Yu Mincho" w:cstheme="minorHAnsi"/>
          <w:sz w:val="20"/>
          <w:szCs w:val="20"/>
          <w:lang w:val="en-US"/>
        </w:rPr>
        <w:t xml:space="preserve"> (MoU)</w:t>
      </w:r>
      <w:r w:rsidRPr="00F14DE2">
        <w:rPr>
          <w:rFonts w:eastAsia="Yu Mincho" w:cstheme="minorHAnsi"/>
          <w:sz w:val="20"/>
          <w:szCs w:val="20"/>
          <w:lang w:val="en-US"/>
        </w:rPr>
        <w:t xml:space="preserve">) and can clearly demonstrate adherence to </w:t>
      </w:r>
      <w:r w:rsidRPr="00541E1D">
        <w:rPr>
          <w:rFonts w:eastAsia="Yu Mincho" w:cstheme="minorHAnsi"/>
          <w:b/>
          <w:color w:val="4472C4" w:themeColor="accent1"/>
          <w:sz w:val="20"/>
          <w:szCs w:val="20"/>
          <w:u w:val="single"/>
          <w:lang w:val="en-US"/>
        </w:rPr>
        <w:t xml:space="preserve">THET’s </w:t>
      </w:r>
      <w:hyperlink r:id="rId13" w:history="1">
        <w:r w:rsidRPr="00541E1D">
          <w:rPr>
            <w:rFonts w:eastAsia="Yu Mincho" w:cstheme="minorHAnsi"/>
            <w:b/>
            <w:color w:val="4472C4" w:themeColor="accent1"/>
            <w:sz w:val="20"/>
            <w:szCs w:val="20"/>
            <w:u w:val="single"/>
            <w:lang w:val="en-US"/>
          </w:rPr>
          <w:t>Principles of Partnership</w:t>
        </w:r>
      </w:hyperlink>
      <w:r w:rsidRPr="00F14DE2">
        <w:rPr>
          <w:rFonts w:eastAsia="Yu Mincho" w:cstheme="minorHAnsi"/>
          <w:sz w:val="20"/>
          <w:szCs w:val="20"/>
          <w:lang w:val="en-US"/>
        </w:rPr>
        <w:t>. While the partnership may not have carried out a full project together, they must have completed activities such as a scoping study or a piece of research in collaboration.</w:t>
      </w:r>
    </w:p>
    <w:p w14:paraId="23D76A91" w14:textId="1FCE3761" w:rsidR="00D24523" w:rsidRPr="00D24523" w:rsidRDefault="00D24523" w:rsidP="00D24523">
      <w:pPr>
        <w:spacing w:before="100" w:after="200" w:line="240" w:lineRule="auto"/>
        <w:jc w:val="both"/>
        <w:rPr>
          <w:rFonts w:ascii="Calibri" w:eastAsia="Yu Mincho" w:hAnsi="Calibri" w:cs="Arial"/>
          <w:sz w:val="20"/>
          <w:szCs w:val="20"/>
          <w:lang w:val="en-US"/>
        </w:rPr>
      </w:pPr>
      <w:r w:rsidRPr="00D24523">
        <w:rPr>
          <w:rFonts w:ascii="Calibri" w:eastAsia="Yu Mincho" w:hAnsi="Calibri" w:cs="Arial"/>
          <w:sz w:val="20"/>
          <w:szCs w:val="20"/>
          <w:lang w:val="en-US"/>
        </w:rPr>
        <w:t>The ultimate recipient of any initiative must be a LMIC not-for-profit/public health facility or health worker/s (e.g. Community Health Workers)</w:t>
      </w:r>
      <w:r w:rsidR="00D6770E">
        <w:rPr>
          <w:rFonts w:ascii="Calibri" w:eastAsia="Yu Mincho" w:hAnsi="Calibri" w:cs="Arial"/>
          <w:sz w:val="20"/>
          <w:szCs w:val="20"/>
          <w:lang w:val="en-US"/>
        </w:rPr>
        <w:t xml:space="preserve">. </w:t>
      </w:r>
      <w:r w:rsidRPr="00D24523">
        <w:rPr>
          <w:rFonts w:ascii="Calibri" w:eastAsia="Yu Mincho" w:hAnsi="Calibri" w:cs="Arial"/>
          <w:sz w:val="20"/>
          <w:szCs w:val="20"/>
          <w:lang w:val="en-US"/>
        </w:rPr>
        <w:t xml:space="preserve">The LMIC partner can also be a District Health Office, academic institution, or NGO if it supports several facilities or health workers. UK and LMIC institutions leading a </w:t>
      </w:r>
      <w:r w:rsidR="00DB653F" w:rsidRPr="00D24523">
        <w:rPr>
          <w:rFonts w:ascii="Calibri" w:eastAsia="Yu Mincho" w:hAnsi="Calibri" w:cs="Arial"/>
          <w:sz w:val="20"/>
          <w:szCs w:val="20"/>
          <w:lang w:val="en-US"/>
        </w:rPr>
        <w:t>HP</w:t>
      </w:r>
      <w:r w:rsidRPr="00D24523">
        <w:rPr>
          <w:rFonts w:ascii="Calibri" w:eastAsia="Yu Mincho" w:hAnsi="Calibri" w:cs="Arial"/>
          <w:sz w:val="20"/>
          <w:szCs w:val="20"/>
          <w:lang w:val="en-US"/>
        </w:rPr>
        <w:t xml:space="preserve"> must be either a health delivery institution, health training/education institution, NGO, regulatory body, NHS arms-length body, professional membership association, or academic institution.</w:t>
      </w:r>
      <w:r w:rsidR="00D6770E">
        <w:rPr>
          <w:rFonts w:ascii="Calibri" w:eastAsia="Yu Mincho" w:hAnsi="Calibri" w:cs="Arial"/>
          <w:sz w:val="20"/>
          <w:szCs w:val="20"/>
          <w:lang w:val="en-US"/>
        </w:rPr>
        <w:t xml:space="preserve"> </w:t>
      </w:r>
      <w:r w:rsidR="0077656D">
        <w:rPr>
          <w:rFonts w:ascii="Calibri" w:eastAsia="Yu Mincho" w:hAnsi="Calibri" w:cs="Arial"/>
          <w:sz w:val="20"/>
          <w:szCs w:val="20"/>
          <w:lang w:val="en-US"/>
        </w:rPr>
        <w:t>Funding will be made available to support triage and management of COVID-19 cases, or to support essential health services to manage COVID-19 risks and pressures in order to continue to function.</w:t>
      </w:r>
    </w:p>
    <w:p w14:paraId="1A1FF5B3" w14:textId="79D0896E" w:rsidR="00D24523" w:rsidRPr="00D24523" w:rsidRDefault="00D24523" w:rsidP="00D24523">
      <w:pPr>
        <w:spacing w:before="100" w:after="200" w:line="240" w:lineRule="auto"/>
        <w:jc w:val="both"/>
        <w:rPr>
          <w:rFonts w:ascii="Calibri" w:eastAsia="Yu Mincho" w:hAnsi="Calibri" w:cs="Arial"/>
          <w:sz w:val="20"/>
          <w:szCs w:val="20"/>
          <w:lang w:val="en-US"/>
        </w:rPr>
      </w:pPr>
      <w:r w:rsidRPr="00D24523">
        <w:rPr>
          <w:rFonts w:ascii="Calibri" w:eastAsia="Yu Mincho" w:hAnsi="Calibri" w:cs="Arial"/>
          <w:sz w:val="20"/>
          <w:szCs w:val="20"/>
          <w:lang w:val="en-US"/>
        </w:rPr>
        <w:t>A</w:t>
      </w:r>
      <w:r w:rsidR="006640E1">
        <w:rPr>
          <w:rFonts w:ascii="Calibri" w:eastAsia="Yu Mincho" w:hAnsi="Calibri" w:cs="Arial"/>
          <w:sz w:val="20"/>
          <w:szCs w:val="20"/>
          <w:lang w:val="en-US"/>
        </w:rPr>
        <w:t>n</w:t>
      </w:r>
      <w:r w:rsidRPr="00D24523">
        <w:rPr>
          <w:rFonts w:ascii="Calibri" w:eastAsia="Yu Mincho" w:hAnsi="Calibri" w:cs="Arial"/>
          <w:sz w:val="20"/>
          <w:szCs w:val="20"/>
          <w:lang w:val="en-US"/>
        </w:rPr>
        <w:t xml:space="preserve"> MoU should be in place between lead partners at the time of application, however exceptions will be made where an additional partner is involved as the beneficiary of an intervention and is not part of an existing MoU. </w:t>
      </w:r>
    </w:p>
    <w:p w14:paraId="57219045" w14:textId="1757CBE3" w:rsidR="00D24523" w:rsidRPr="00D24523" w:rsidRDefault="00D24523" w:rsidP="00D24523">
      <w:pPr>
        <w:spacing w:before="100" w:after="200" w:line="240" w:lineRule="auto"/>
        <w:jc w:val="both"/>
        <w:rPr>
          <w:rFonts w:ascii="Calibri" w:eastAsia="Yu Mincho" w:hAnsi="Calibri" w:cs="Arial"/>
          <w:sz w:val="20"/>
          <w:szCs w:val="20"/>
          <w:lang w:val="en-US"/>
        </w:rPr>
      </w:pPr>
      <w:r w:rsidRPr="00D24523">
        <w:rPr>
          <w:rFonts w:ascii="Calibri" w:eastAsia="Yu Mincho" w:hAnsi="Calibri" w:cs="Arial"/>
          <w:sz w:val="20"/>
          <w:szCs w:val="20"/>
          <w:lang w:val="en-US"/>
        </w:rPr>
        <w:t>Funds can be transferred to either a UK or LMIC institution depending on what is most appropriate for the use of funding, and the funding recipient will be responsible for signing the contract. Please note that the contract holder must have both a finance</w:t>
      </w:r>
      <w:r w:rsidR="001A467F">
        <w:rPr>
          <w:rFonts w:ascii="Calibri" w:eastAsia="Yu Mincho" w:hAnsi="Calibri" w:cs="Arial"/>
          <w:sz w:val="20"/>
          <w:szCs w:val="20"/>
          <w:lang w:val="en-US"/>
        </w:rPr>
        <w:t xml:space="preserve"> policy</w:t>
      </w:r>
      <w:r w:rsidRPr="00D24523">
        <w:rPr>
          <w:rFonts w:ascii="Calibri" w:eastAsia="Yu Mincho" w:hAnsi="Calibri" w:cs="Arial"/>
          <w:sz w:val="20"/>
          <w:szCs w:val="20"/>
          <w:lang w:val="en-US"/>
        </w:rPr>
        <w:t xml:space="preserve">, and </w:t>
      </w:r>
      <w:r w:rsidR="001A467F">
        <w:rPr>
          <w:rFonts w:ascii="Calibri" w:eastAsia="Yu Mincho" w:hAnsi="Calibri" w:cs="Arial"/>
          <w:sz w:val="20"/>
          <w:szCs w:val="20"/>
          <w:lang w:val="en-US"/>
        </w:rPr>
        <w:t xml:space="preserve">a </w:t>
      </w:r>
      <w:r w:rsidR="00214399">
        <w:rPr>
          <w:rFonts w:ascii="Calibri" w:eastAsia="Yu Mincho" w:hAnsi="Calibri" w:cs="Arial"/>
          <w:sz w:val="20"/>
          <w:szCs w:val="20"/>
          <w:lang w:val="en-US"/>
        </w:rPr>
        <w:t xml:space="preserve">fraud, </w:t>
      </w:r>
      <w:r w:rsidRPr="00D24523">
        <w:rPr>
          <w:rFonts w:ascii="Calibri" w:eastAsia="Yu Mincho" w:hAnsi="Calibri" w:cs="Arial"/>
          <w:sz w:val="20"/>
          <w:szCs w:val="20"/>
          <w:lang w:val="en-US"/>
        </w:rPr>
        <w:t>corruption and bribery policy</w:t>
      </w:r>
      <w:r w:rsidR="00214399">
        <w:rPr>
          <w:rFonts w:ascii="Calibri" w:eastAsia="Yu Mincho" w:hAnsi="Calibri" w:cs="Arial"/>
          <w:sz w:val="20"/>
          <w:szCs w:val="20"/>
          <w:lang w:val="en-US"/>
        </w:rPr>
        <w:t>,</w:t>
      </w:r>
      <w:r w:rsidRPr="00D24523">
        <w:rPr>
          <w:rFonts w:ascii="Calibri" w:eastAsia="Yu Mincho" w:hAnsi="Calibri" w:cs="Arial"/>
          <w:sz w:val="20"/>
          <w:szCs w:val="20"/>
          <w:lang w:val="en-US"/>
        </w:rPr>
        <w:t xml:space="preserve"> and when making this decision you should also consider factors such as bank charges, your capacity to submit financial reports and transaction lists, and your ability to make use of funding speedily (please note the funding timeframes below).</w:t>
      </w:r>
      <w:r w:rsidR="003068E0">
        <w:rPr>
          <w:rFonts w:ascii="Calibri" w:eastAsia="Yu Mincho" w:hAnsi="Calibri" w:cs="Arial"/>
          <w:sz w:val="20"/>
          <w:szCs w:val="20"/>
          <w:lang w:val="en-US"/>
        </w:rPr>
        <w:t xml:space="preserve"> Where funds are transferred</w:t>
      </w:r>
      <w:r w:rsidR="00F063E5">
        <w:rPr>
          <w:rFonts w:ascii="Calibri" w:eastAsia="Yu Mincho" w:hAnsi="Calibri" w:cs="Arial"/>
          <w:sz w:val="20"/>
          <w:szCs w:val="20"/>
          <w:lang w:val="en-US"/>
        </w:rPr>
        <w:t xml:space="preserve"> directly</w:t>
      </w:r>
      <w:r w:rsidR="003068E0">
        <w:rPr>
          <w:rFonts w:ascii="Calibri" w:eastAsia="Yu Mincho" w:hAnsi="Calibri" w:cs="Arial"/>
          <w:sz w:val="20"/>
          <w:szCs w:val="20"/>
          <w:lang w:val="en-US"/>
        </w:rPr>
        <w:t xml:space="preserve"> </w:t>
      </w:r>
      <w:r w:rsidR="008C20BE">
        <w:rPr>
          <w:rFonts w:ascii="Calibri" w:eastAsia="Yu Mincho" w:hAnsi="Calibri" w:cs="Arial"/>
          <w:sz w:val="20"/>
          <w:szCs w:val="20"/>
          <w:lang w:val="en-US"/>
        </w:rPr>
        <w:t xml:space="preserve">from THET </w:t>
      </w:r>
      <w:r w:rsidR="003068E0">
        <w:rPr>
          <w:rFonts w:ascii="Calibri" w:eastAsia="Yu Mincho" w:hAnsi="Calibri" w:cs="Arial"/>
          <w:sz w:val="20"/>
          <w:szCs w:val="20"/>
          <w:lang w:val="en-US"/>
        </w:rPr>
        <w:t>to the LMIC partner institution, THET will cover bank charges.</w:t>
      </w:r>
    </w:p>
    <w:p w14:paraId="4C319C4E" w14:textId="77777777" w:rsidR="00B427B5" w:rsidRPr="00B427B5" w:rsidRDefault="00B427B5" w:rsidP="00B427B5">
      <w:pPr>
        <w:pBdr>
          <w:top w:val="single" w:sz="24" w:space="0" w:color="C4E5F5"/>
          <w:left w:val="single" w:sz="24" w:space="0" w:color="C4E5F5"/>
          <w:bottom w:val="single" w:sz="24" w:space="0" w:color="C4E5F5"/>
          <w:right w:val="single" w:sz="24" w:space="0" w:color="C4E5F5"/>
        </w:pBdr>
        <w:shd w:val="clear" w:color="auto" w:fill="C4E5F5"/>
        <w:spacing w:before="100" w:after="0" w:line="240" w:lineRule="auto"/>
        <w:outlineLvl w:val="1"/>
        <w:rPr>
          <w:rFonts w:ascii="Calibri" w:eastAsia="Yu Mincho" w:hAnsi="Calibri" w:cs="Arial"/>
          <w:caps/>
          <w:spacing w:val="15"/>
          <w:sz w:val="20"/>
          <w:szCs w:val="20"/>
          <w:lang w:val="en-US"/>
        </w:rPr>
      </w:pPr>
      <w:r w:rsidRPr="00B427B5">
        <w:rPr>
          <w:rFonts w:ascii="Calibri" w:eastAsia="Yu Mincho" w:hAnsi="Calibri" w:cs="Arial"/>
          <w:caps/>
          <w:spacing w:val="15"/>
          <w:sz w:val="20"/>
          <w:szCs w:val="20"/>
          <w:lang w:val="en-US"/>
        </w:rPr>
        <w:t xml:space="preserve">Funding Timeframes and duration </w:t>
      </w:r>
    </w:p>
    <w:p w14:paraId="2646289D" w14:textId="22193E68" w:rsidR="00B427B5" w:rsidRPr="00B427B5" w:rsidRDefault="00B427B5" w:rsidP="00B427B5">
      <w:pPr>
        <w:spacing w:before="100" w:after="200" w:line="240" w:lineRule="auto"/>
        <w:jc w:val="both"/>
        <w:rPr>
          <w:rFonts w:ascii="Calibri" w:eastAsia="Yu Mincho" w:hAnsi="Calibri" w:cs="Arial"/>
          <w:sz w:val="20"/>
          <w:szCs w:val="20"/>
          <w:lang w:val="en-US"/>
        </w:rPr>
      </w:pPr>
      <w:r w:rsidRPr="00B427B5">
        <w:rPr>
          <w:rFonts w:ascii="Calibri" w:eastAsia="Yu Mincho" w:hAnsi="Calibri" w:cs="Arial"/>
          <w:sz w:val="20"/>
          <w:szCs w:val="20"/>
          <w:lang w:val="en-US"/>
        </w:rPr>
        <w:t>Applicants can apply for a maximum of £</w:t>
      </w:r>
      <w:r w:rsidR="00770899">
        <w:rPr>
          <w:rFonts w:ascii="Calibri" w:eastAsia="Yu Mincho" w:hAnsi="Calibri" w:cs="Arial"/>
          <w:sz w:val="20"/>
          <w:szCs w:val="20"/>
          <w:lang w:val="en-US"/>
        </w:rPr>
        <w:t>10</w:t>
      </w:r>
      <w:r w:rsidRPr="00B427B5">
        <w:rPr>
          <w:rFonts w:ascii="Calibri" w:eastAsia="Yu Mincho" w:hAnsi="Calibri" w:cs="Arial"/>
          <w:sz w:val="20"/>
          <w:szCs w:val="20"/>
          <w:lang w:val="en-US"/>
        </w:rPr>
        <w:t xml:space="preserve">,000 and we expect funds to be utilised as soon as possible, with priority afforded to applicants able to make use of funding in an efficient and timely manner. </w:t>
      </w:r>
    </w:p>
    <w:p w14:paraId="268F1BB9" w14:textId="3D7BCDC2" w:rsidR="007F22F9" w:rsidRDefault="100F7734" w:rsidP="00B427B5">
      <w:pPr>
        <w:spacing w:before="100" w:after="200" w:line="240" w:lineRule="auto"/>
        <w:jc w:val="both"/>
        <w:rPr>
          <w:rFonts w:ascii="Calibri" w:eastAsia="Yu Mincho" w:hAnsi="Calibri" w:cs="Arial"/>
          <w:sz w:val="20"/>
          <w:szCs w:val="20"/>
          <w:lang w:val="en-US"/>
        </w:rPr>
      </w:pPr>
      <w:r w:rsidRPr="36572566">
        <w:rPr>
          <w:rFonts w:ascii="Calibri" w:eastAsia="Yu Mincho" w:hAnsi="Calibri" w:cs="Arial"/>
          <w:sz w:val="20"/>
          <w:szCs w:val="20"/>
          <w:lang w:val="en-US"/>
        </w:rPr>
        <w:t>While we</w:t>
      </w:r>
      <w:r w:rsidR="3FD25399" w:rsidRPr="36572566">
        <w:rPr>
          <w:rFonts w:ascii="Calibri" w:eastAsia="Yu Mincho" w:hAnsi="Calibri" w:cs="Arial"/>
          <w:sz w:val="20"/>
          <w:szCs w:val="20"/>
          <w:lang w:val="en-US"/>
        </w:rPr>
        <w:t xml:space="preserve"> a</w:t>
      </w:r>
      <w:r w:rsidRPr="36572566">
        <w:rPr>
          <w:rFonts w:ascii="Calibri" w:eastAsia="Yu Mincho" w:hAnsi="Calibri" w:cs="Arial"/>
          <w:sz w:val="20"/>
          <w:szCs w:val="20"/>
          <w:lang w:val="en-US"/>
        </w:rPr>
        <w:t xml:space="preserve">re flexible with the length of time that activities cover, </w:t>
      </w:r>
      <w:r w:rsidR="3D7C6015" w:rsidRPr="36572566">
        <w:rPr>
          <w:rFonts w:ascii="Calibri" w:eastAsia="Yu Mincho" w:hAnsi="Calibri" w:cs="Arial"/>
          <w:sz w:val="20"/>
          <w:szCs w:val="20"/>
          <w:lang w:val="en-US"/>
        </w:rPr>
        <w:t xml:space="preserve">the maximum length </w:t>
      </w:r>
      <w:r w:rsidR="49127E51" w:rsidRPr="36572566">
        <w:rPr>
          <w:rFonts w:ascii="Calibri" w:eastAsia="Yu Mincho" w:hAnsi="Calibri" w:cs="Arial"/>
          <w:sz w:val="20"/>
          <w:szCs w:val="20"/>
          <w:lang w:val="en-US"/>
        </w:rPr>
        <w:t xml:space="preserve">of </w:t>
      </w:r>
      <w:r w:rsidR="3D7C6015" w:rsidRPr="36572566">
        <w:rPr>
          <w:rFonts w:ascii="Calibri" w:eastAsia="Yu Mincho" w:hAnsi="Calibri" w:cs="Arial"/>
          <w:sz w:val="20"/>
          <w:szCs w:val="20"/>
          <w:lang w:val="en-US"/>
        </w:rPr>
        <w:t xml:space="preserve">projects </w:t>
      </w:r>
      <w:r w:rsidR="1864633C" w:rsidRPr="36572566">
        <w:rPr>
          <w:rFonts w:ascii="Calibri" w:eastAsia="Yu Mincho" w:hAnsi="Calibri" w:cs="Arial"/>
          <w:sz w:val="20"/>
          <w:szCs w:val="20"/>
          <w:lang w:val="en-US"/>
        </w:rPr>
        <w:t xml:space="preserve">funded through </w:t>
      </w:r>
      <w:r w:rsidR="1990DC2B" w:rsidRPr="36572566">
        <w:rPr>
          <w:rFonts w:ascii="Calibri" w:eastAsia="Yu Mincho" w:hAnsi="Calibri" w:cs="Arial"/>
          <w:sz w:val="20"/>
          <w:szCs w:val="20"/>
          <w:lang w:val="en-US"/>
        </w:rPr>
        <w:t xml:space="preserve">the </w:t>
      </w:r>
      <w:r w:rsidR="1EF77A92" w:rsidRPr="36572566">
        <w:rPr>
          <w:rFonts w:ascii="Calibri" w:eastAsia="Yu Mincho" w:hAnsi="Calibri" w:cs="Arial"/>
          <w:sz w:val="20"/>
          <w:szCs w:val="20"/>
          <w:lang w:val="en-US"/>
        </w:rPr>
        <w:t>COVID</w:t>
      </w:r>
      <w:r w:rsidR="1990DC2B" w:rsidRPr="36572566">
        <w:rPr>
          <w:rFonts w:ascii="Calibri" w:eastAsia="Yu Mincho" w:hAnsi="Calibri" w:cs="Arial"/>
          <w:sz w:val="20"/>
          <w:szCs w:val="20"/>
          <w:lang w:val="en-US"/>
        </w:rPr>
        <w:t>-19 Response Fund</w:t>
      </w:r>
      <w:r w:rsidR="1864633C" w:rsidRPr="36572566">
        <w:rPr>
          <w:rFonts w:ascii="Calibri" w:eastAsia="Yu Mincho" w:hAnsi="Calibri" w:cs="Arial"/>
          <w:sz w:val="20"/>
          <w:szCs w:val="20"/>
          <w:lang w:val="en-US"/>
        </w:rPr>
        <w:t xml:space="preserve"> is 6 months.</w:t>
      </w:r>
      <w:r w:rsidR="765FE83A" w:rsidRPr="36572566">
        <w:rPr>
          <w:rFonts w:ascii="Calibri" w:eastAsia="Yu Mincho" w:hAnsi="Calibri" w:cs="Arial"/>
          <w:sz w:val="20"/>
          <w:szCs w:val="20"/>
          <w:lang w:val="en-US"/>
        </w:rPr>
        <w:t xml:space="preserve"> The timeline for the grants programme will be as follows:</w:t>
      </w:r>
    </w:p>
    <w:tbl>
      <w:tblPr>
        <w:tblStyle w:val="TableGrid"/>
        <w:tblW w:w="0" w:type="auto"/>
        <w:tblInd w:w="-5" w:type="dxa"/>
        <w:tblLook w:val="04A0" w:firstRow="1" w:lastRow="0" w:firstColumn="1" w:lastColumn="0" w:noHBand="0" w:noVBand="1"/>
      </w:tblPr>
      <w:tblGrid>
        <w:gridCol w:w="2903"/>
        <w:gridCol w:w="2904"/>
      </w:tblGrid>
      <w:tr w:rsidR="007F22F9" w14:paraId="4AD44171" w14:textId="77777777" w:rsidTr="00FE5577">
        <w:trPr>
          <w:trHeight w:val="454"/>
        </w:trPr>
        <w:tc>
          <w:tcPr>
            <w:tcW w:w="2903" w:type="dxa"/>
            <w:vAlign w:val="center"/>
          </w:tcPr>
          <w:p w14:paraId="5B2750D0" w14:textId="77777777" w:rsidR="007F22F9" w:rsidRPr="0059251A" w:rsidRDefault="007F22F9" w:rsidP="000F3E93">
            <w:pPr>
              <w:rPr>
                <w:b/>
                <w:bCs/>
                <w:sz w:val="20"/>
                <w:szCs w:val="20"/>
              </w:rPr>
            </w:pPr>
            <w:r w:rsidRPr="0059251A">
              <w:rPr>
                <w:b/>
                <w:bCs/>
                <w:sz w:val="20"/>
                <w:szCs w:val="20"/>
              </w:rPr>
              <w:t>Date</w:t>
            </w:r>
          </w:p>
        </w:tc>
        <w:tc>
          <w:tcPr>
            <w:tcW w:w="2904" w:type="dxa"/>
            <w:vAlign w:val="center"/>
          </w:tcPr>
          <w:p w14:paraId="0E5415C8" w14:textId="77777777" w:rsidR="007F22F9" w:rsidRPr="0059251A" w:rsidRDefault="007F22F9" w:rsidP="000F3E93">
            <w:pPr>
              <w:rPr>
                <w:b/>
                <w:bCs/>
                <w:sz w:val="20"/>
                <w:szCs w:val="20"/>
              </w:rPr>
            </w:pPr>
            <w:r w:rsidRPr="0059251A">
              <w:rPr>
                <w:b/>
                <w:bCs/>
                <w:sz w:val="20"/>
                <w:szCs w:val="20"/>
              </w:rPr>
              <w:t>Activity</w:t>
            </w:r>
          </w:p>
        </w:tc>
      </w:tr>
      <w:tr w:rsidR="007F22F9" w14:paraId="511A6DA2" w14:textId="77777777" w:rsidTr="00FE5577">
        <w:trPr>
          <w:trHeight w:val="454"/>
        </w:trPr>
        <w:tc>
          <w:tcPr>
            <w:tcW w:w="2903" w:type="dxa"/>
            <w:vAlign w:val="center"/>
          </w:tcPr>
          <w:p w14:paraId="4BDF7733" w14:textId="757F9B97" w:rsidR="007F22F9" w:rsidRPr="0059251A" w:rsidRDefault="00184C04" w:rsidP="000F3E93">
            <w:pPr>
              <w:rPr>
                <w:sz w:val="20"/>
                <w:szCs w:val="20"/>
              </w:rPr>
            </w:pPr>
            <w:r>
              <w:rPr>
                <w:sz w:val="20"/>
                <w:szCs w:val="20"/>
              </w:rPr>
              <w:t>30 Sep</w:t>
            </w:r>
            <w:r w:rsidR="00392F10">
              <w:rPr>
                <w:sz w:val="20"/>
                <w:szCs w:val="20"/>
              </w:rPr>
              <w:t>tember</w:t>
            </w:r>
            <w:r w:rsidR="007F22F9" w:rsidRPr="0059251A">
              <w:rPr>
                <w:sz w:val="20"/>
                <w:szCs w:val="20"/>
              </w:rPr>
              <w:t xml:space="preserve"> 2020</w:t>
            </w:r>
          </w:p>
        </w:tc>
        <w:tc>
          <w:tcPr>
            <w:tcW w:w="2904" w:type="dxa"/>
            <w:vAlign w:val="center"/>
          </w:tcPr>
          <w:p w14:paraId="56ECAFA0" w14:textId="77777777" w:rsidR="007F22F9" w:rsidRPr="0059251A" w:rsidRDefault="007F22F9" w:rsidP="000F3E93">
            <w:pPr>
              <w:rPr>
                <w:sz w:val="20"/>
                <w:szCs w:val="20"/>
              </w:rPr>
            </w:pPr>
            <w:r w:rsidRPr="0059251A">
              <w:rPr>
                <w:sz w:val="20"/>
                <w:szCs w:val="20"/>
              </w:rPr>
              <w:t>Call opens</w:t>
            </w:r>
          </w:p>
        </w:tc>
      </w:tr>
      <w:tr w:rsidR="007F22F9" w14:paraId="233F189F" w14:textId="77777777" w:rsidTr="00FE5577">
        <w:trPr>
          <w:trHeight w:val="454"/>
        </w:trPr>
        <w:tc>
          <w:tcPr>
            <w:tcW w:w="2903" w:type="dxa"/>
            <w:vAlign w:val="center"/>
          </w:tcPr>
          <w:p w14:paraId="7DECB7E4" w14:textId="0D02FF55" w:rsidR="007F22F9" w:rsidRPr="0059251A" w:rsidRDefault="007F22F9" w:rsidP="000F3E93">
            <w:pPr>
              <w:rPr>
                <w:sz w:val="20"/>
                <w:szCs w:val="20"/>
              </w:rPr>
            </w:pPr>
            <w:r w:rsidRPr="0059251A">
              <w:rPr>
                <w:sz w:val="20"/>
                <w:szCs w:val="20"/>
              </w:rPr>
              <w:t>1</w:t>
            </w:r>
            <w:r w:rsidR="00184C04">
              <w:rPr>
                <w:sz w:val="20"/>
                <w:szCs w:val="20"/>
              </w:rPr>
              <w:t>5</w:t>
            </w:r>
            <w:r w:rsidRPr="0059251A">
              <w:rPr>
                <w:sz w:val="20"/>
                <w:szCs w:val="20"/>
              </w:rPr>
              <w:t xml:space="preserve"> </w:t>
            </w:r>
            <w:r w:rsidR="00184C04">
              <w:rPr>
                <w:sz w:val="20"/>
                <w:szCs w:val="20"/>
              </w:rPr>
              <w:t>Nov</w:t>
            </w:r>
            <w:r w:rsidR="00392F10">
              <w:rPr>
                <w:sz w:val="20"/>
                <w:szCs w:val="20"/>
              </w:rPr>
              <w:t>ember</w:t>
            </w:r>
            <w:r w:rsidRPr="0059251A">
              <w:rPr>
                <w:sz w:val="20"/>
                <w:szCs w:val="20"/>
              </w:rPr>
              <w:t xml:space="preserve"> 2020</w:t>
            </w:r>
          </w:p>
        </w:tc>
        <w:tc>
          <w:tcPr>
            <w:tcW w:w="2904" w:type="dxa"/>
            <w:vAlign w:val="center"/>
          </w:tcPr>
          <w:p w14:paraId="7D579013" w14:textId="77777777" w:rsidR="007F22F9" w:rsidRPr="0059251A" w:rsidRDefault="007F22F9" w:rsidP="000F3E93">
            <w:pPr>
              <w:rPr>
                <w:sz w:val="20"/>
                <w:szCs w:val="20"/>
              </w:rPr>
            </w:pPr>
            <w:r w:rsidRPr="0059251A">
              <w:rPr>
                <w:sz w:val="20"/>
                <w:szCs w:val="20"/>
              </w:rPr>
              <w:t>Call closes</w:t>
            </w:r>
          </w:p>
        </w:tc>
      </w:tr>
      <w:tr w:rsidR="007F22F9" w14:paraId="1C789E69" w14:textId="77777777" w:rsidTr="00FE5577">
        <w:trPr>
          <w:trHeight w:val="454"/>
        </w:trPr>
        <w:tc>
          <w:tcPr>
            <w:tcW w:w="2903" w:type="dxa"/>
            <w:vAlign w:val="center"/>
          </w:tcPr>
          <w:p w14:paraId="46A05F02" w14:textId="4F4F91EF" w:rsidR="007F22F9" w:rsidRPr="0059251A" w:rsidRDefault="00184C04" w:rsidP="000F3E93">
            <w:pPr>
              <w:rPr>
                <w:sz w:val="20"/>
                <w:szCs w:val="20"/>
              </w:rPr>
            </w:pPr>
            <w:r>
              <w:rPr>
                <w:sz w:val="20"/>
                <w:szCs w:val="20"/>
              </w:rPr>
              <w:t>1 Feb</w:t>
            </w:r>
            <w:r w:rsidR="00392F10">
              <w:rPr>
                <w:sz w:val="20"/>
                <w:szCs w:val="20"/>
              </w:rPr>
              <w:t>ruary</w:t>
            </w:r>
            <w:r w:rsidR="007F22F9" w:rsidRPr="0059251A">
              <w:rPr>
                <w:sz w:val="20"/>
                <w:szCs w:val="20"/>
              </w:rPr>
              <w:t xml:space="preserve"> – </w:t>
            </w:r>
            <w:r w:rsidR="00523D41">
              <w:rPr>
                <w:sz w:val="20"/>
                <w:szCs w:val="20"/>
              </w:rPr>
              <w:t>31 Jul</w:t>
            </w:r>
            <w:r w:rsidR="00392F10">
              <w:rPr>
                <w:sz w:val="20"/>
                <w:szCs w:val="20"/>
              </w:rPr>
              <w:t>y</w:t>
            </w:r>
            <w:r w:rsidR="007F22F9" w:rsidRPr="0059251A">
              <w:rPr>
                <w:sz w:val="20"/>
                <w:szCs w:val="20"/>
              </w:rPr>
              <w:t xml:space="preserve"> 2021</w:t>
            </w:r>
          </w:p>
        </w:tc>
        <w:tc>
          <w:tcPr>
            <w:tcW w:w="2904" w:type="dxa"/>
            <w:vAlign w:val="center"/>
          </w:tcPr>
          <w:p w14:paraId="1169A200" w14:textId="77777777" w:rsidR="007F22F9" w:rsidRPr="0059251A" w:rsidRDefault="007F22F9" w:rsidP="000F3E93">
            <w:pPr>
              <w:rPr>
                <w:sz w:val="20"/>
                <w:szCs w:val="20"/>
              </w:rPr>
            </w:pPr>
            <w:r w:rsidRPr="0059251A">
              <w:rPr>
                <w:sz w:val="20"/>
                <w:szCs w:val="20"/>
              </w:rPr>
              <w:t>Grant duration</w:t>
            </w:r>
          </w:p>
        </w:tc>
      </w:tr>
      <w:tr w:rsidR="007F22F9" w14:paraId="4FFC1CCF" w14:textId="77777777" w:rsidTr="00FE5577">
        <w:trPr>
          <w:trHeight w:val="454"/>
        </w:trPr>
        <w:tc>
          <w:tcPr>
            <w:tcW w:w="2903" w:type="dxa"/>
            <w:vAlign w:val="center"/>
          </w:tcPr>
          <w:p w14:paraId="5A61F5C3" w14:textId="3220DFE5" w:rsidR="007F22F9" w:rsidRPr="0059251A" w:rsidRDefault="004F4096" w:rsidP="000F3E93">
            <w:pPr>
              <w:rPr>
                <w:sz w:val="20"/>
                <w:szCs w:val="20"/>
              </w:rPr>
            </w:pPr>
            <w:r>
              <w:rPr>
                <w:sz w:val="20"/>
                <w:szCs w:val="20"/>
              </w:rPr>
              <w:t>Aug</w:t>
            </w:r>
            <w:r w:rsidR="00392F10">
              <w:rPr>
                <w:sz w:val="20"/>
                <w:szCs w:val="20"/>
              </w:rPr>
              <w:t>ust</w:t>
            </w:r>
            <w:r w:rsidR="007F22F9" w:rsidRPr="0059251A">
              <w:rPr>
                <w:sz w:val="20"/>
                <w:szCs w:val="20"/>
              </w:rPr>
              <w:t xml:space="preserve"> 2021</w:t>
            </w:r>
          </w:p>
        </w:tc>
        <w:tc>
          <w:tcPr>
            <w:tcW w:w="2904" w:type="dxa"/>
            <w:vAlign w:val="center"/>
          </w:tcPr>
          <w:p w14:paraId="7B1E2EF3" w14:textId="3A565423" w:rsidR="007F22F9" w:rsidRPr="0059251A" w:rsidRDefault="007F22F9" w:rsidP="000F3E93">
            <w:pPr>
              <w:rPr>
                <w:sz w:val="20"/>
                <w:szCs w:val="20"/>
              </w:rPr>
            </w:pPr>
            <w:r w:rsidRPr="0059251A">
              <w:rPr>
                <w:sz w:val="20"/>
                <w:szCs w:val="20"/>
              </w:rPr>
              <w:t>Grant</w:t>
            </w:r>
            <w:r w:rsidR="00392F10">
              <w:rPr>
                <w:sz w:val="20"/>
                <w:szCs w:val="20"/>
              </w:rPr>
              <w:t xml:space="preserve"> </w:t>
            </w:r>
            <w:r w:rsidRPr="0059251A">
              <w:rPr>
                <w:sz w:val="20"/>
                <w:szCs w:val="20"/>
              </w:rPr>
              <w:t>holders report to THET</w:t>
            </w:r>
          </w:p>
        </w:tc>
      </w:tr>
    </w:tbl>
    <w:p w14:paraId="5E01BDC7" w14:textId="77777777" w:rsidR="00B427B5" w:rsidRPr="00B427B5" w:rsidRDefault="00B427B5" w:rsidP="00B427B5">
      <w:pPr>
        <w:pBdr>
          <w:top w:val="single" w:sz="24" w:space="0" w:color="C4E5F5"/>
          <w:left w:val="single" w:sz="24" w:space="0" w:color="C4E5F5"/>
          <w:bottom w:val="single" w:sz="24" w:space="0" w:color="C4E5F5"/>
          <w:right w:val="single" w:sz="24" w:space="0" w:color="C4E5F5"/>
        </w:pBdr>
        <w:shd w:val="clear" w:color="auto" w:fill="C4E5F5"/>
        <w:spacing w:before="100" w:after="0" w:line="240" w:lineRule="auto"/>
        <w:outlineLvl w:val="1"/>
        <w:rPr>
          <w:rFonts w:ascii="Calibri" w:eastAsia="Yu Mincho" w:hAnsi="Calibri" w:cs="Arial"/>
          <w:caps/>
          <w:spacing w:val="15"/>
          <w:sz w:val="20"/>
          <w:szCs w:val="20"/>
          <w:lang w:val="en-US"/>
        </w:rPr>
      </w:pPr>
      <w:r w:rsidRPr="00B427B5">
        <w:rPr>
          <w:rFonts w:ascii="Calibri" w:eastAsia="Yu Mincho" w:hAnsi="Calibri" w:cs="Arial"/>
          <w:caps/>
          <w:spacing w:val="15"/>
          <w:sz w:val="20"/>
          <w:szCs w:val="20"/>
          <w:lang w:val="en-US"/>
        </w:rPr>
        <w:t>Scoring criteria</w:t>
      </w:r>
    </w:p>
    <w:p w14:paraId="49EFC56C" w14:textId="47C428CC" w:rsidR="00FE6332" w:rsidRDefault="00FE6332" w:rsidP="00FE6332">
      <w:pPr>
        <w:spacing w:before="100" w:after="0" w:line="240" w:lineRule="auto"/>
        <w:contextualSpacing/>
        <w:jc w:val="both"/>
        <w:rPr>
          <w:rFonts w:ascii="Calibri Light" w:eastAsia="Yu Mincho" w:hAnsi="Calibri Light" w:cs="Times New Roman"/>
          <w:sz w:val="20"/>
          <w:szCs w:val="20"/>
          <w:lang w:val="en-US"/>
        </w:rPr>
      </w:pPr>
    </w:p>
    <w:p w14:paraId="0BB2BCAB" w14:textId="3D03C653" w:rsidR="00D82A96" w:rsidRPr="00D82A96" w:rsidRDefault="00FE6332" w:rsidP="00D82A96">
      <w:pPr>
        <w:rPr>
          <w:sz w:val="20"/>
          <w:szCs w:val="20"/>
        </w:rPr>
      </w:pPr>
      <w:r w:rsidRPr="00D82A96">
        <w:rPr>
          <w:sz w:val="20"/>
          <w:szCs w:val="20"/>
        </w:rPr>
        <w:t xml:space="preserve">If your </w:t>
      </w:r>
      <w:r w:rsidR="00DB653F">
        <w:rPr>
          <w:sz w:val="20"/>
          <w:szCs w:val="20"/>
        </w:rPr>
        <w:t>HP</w:t>
      </w:r>
      <w:r w:rsidRPr="00D82A96">
        <w:rPr>
          <w:sz w:val="20"/>
          <w:szCs w:val="20"/>
        </w:rPr>
        <w:t xml:space="preserve"> and proposal is eligible to receive support, applications will be judged against the following criteria:</w:t>
      </w:r>
    </w:p>
    <w:p w14:paraId="6B6DDA99" w14:textId="53846626"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The proposal aligns with the aims of the fund and clearly addresses a priority need</w:t>
      </w:r>
    </w:p>
    <w:p w14:paraId="706806AE" w14:textId="5C7C43C6"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 xml:space="preserve">The project aims are clear with a focus on measurable outcomes that </w:t>
      </w:r>
      <w:r w:rsidR="00FD2B66">
        <w:rPr>
          <w:rFonts w:eastAsia="Yu Mincho" w:cs="Times New Roman"/>
          <w:sz w:val="20"/>
          <w:szCs w:val="20"/>
          <w:lang w:val="en-US"/>
        </w:rPr>
        <w:t>are</w:t>
      </w:r>
      <w:r w:rsidRPr="00A6168E">
        <w:rPr>
          <w:rFonts w:eastAsia="Yu Mincho" w:cs="Times New Roman"/>
          <w:sz w:val="20"/>
          <w:szCs w:val="20"/>
          <w:lang w:val="en-US"/>
        </w:rPr>
        <w:t xml:space="preserve"> achievable with the resources and time available</w:t>
      </w:r>
    </w:p>
    <w:p w14:paraId="61D53F04" w14:textId="446D552B"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 xml:space="preserve">The project is aligned with the national </w:t>
      </w:r>
      <w:r w:rsidR="64BC5705" w:rsidRPr="36572566">
        <w:rPr>
          <w:rFonts w:eastAsia="Yu Mincho" w:cs="Times New Roman"/>
          <w:sz w:val="20"/>
          <w:szCs w:val="20"/>
          <w:lang w:val="en-US"/>
        </w:rPr>
        <w:t>COVID</w:t>
      </w:r>
      <w:r w:rsidRPr="00A6168E">
        <w:rPr>
          <w:rFonts w:eastAsia="Yu Mincho" w:cs="Times New Roman"/>
          <w:sz w:val="20"/>
          <w:szCs w:val="20"/>
          <w:lang w:val="en-US"/>
        </w:rPr>
        <w:t>-19 response and does not duplicate other efforts</w:t>
      </w:r>
    </w:p>
    <w:p w14:paraId="4CDF5564" w14:textId="6AD73719"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 xml:space="preserve">The project is aligned with </w:t>
      </w:r>
      <w:r w:rsidR="00CA4814">
        <w:rPr>
          <w:rFonts w:eastAsia="Yu Mincho" w:cs="Times New Roman"/>
          <w:sz w:val="20"/>
          <w:szCs w:val="20"/>
          <w:lang w:val="en-US"/>
        </w:rPr>
        <w:t>FCDO</w:t>
      </w:r>
      <w:r w:rsidRPr="00A6168E">
        <w:rPr>
          <w:rFonts w:eastAsia="Yu Mincho" w:cs="Times New Roman"/>
          <w:sz w:val="20"/>
          <w:szCs w:val="20"/>
          <w:lang w:val="en-US"/>
        </w:rPr>
        <w:t>’s priority interventions guidance</w:t>
      </w:r>
      <w:r w:rsidR="00CF47EE">
        <w:rPr>
          <w:rFonts w:eastAsia="Yu Mincho" w:cs="Times New Roman"/>
          <w:sz w:val="20"/>
          <w:szCs w:val="20"/>
          <w:lang w:val="en-US"/>
        </w:rPr>
        <w:t xml:space="preserve"> as outlined in Annex 1</w:t>
      </w:r>
    </w:p>
    <w:p w14:paraId="2EDBCE79" w14:textId="31693501"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 xml:space="preserve">The project ensures a ‘do no harm approach’, addressing </w:t>
      </w:r>
      <w:r w:rsidR="0790D506" w:rsidRPr="36572566">
        <w:rPr>
          <w:rFonts w:eastAsia="Yu Mincho" w:cs="Times New Roman"/>
          <w:sz w:val="20"/>
          <w:szCs w:val="20"/>
          <w:lang w:val="en-US"/>
        </w:rPr>
        <w:t>COVID</w:t>
      </w:r>
      <w:r w:rsidRPr="00A6168E">
        <w:rPr>
          <w:rFonts w:eastAsia="Yu Mincho" w:cs="Times New Roman"/>
          <w:sz w:val="20"/>
          <w:szCs w:val="20"/>
          <w:lang w:val="en-US"/>
        </w:rPr>
        <w:t>-19 while ensuring quality essential health services are not overlooked</w:t>
      </w:r>
      <w:r w:rsidR="00075E5E">
        <w:rPr>
          <w:rFonts w:eastAsia="Yu Mincho" w:cs="Times New Roman"/>
          <w:sz w:val="20"/>
          <w:szCs w:val="20"/>
          <w:lang w:val="en-US"/>
        </w:rPr>
        <w:t xml:space="preserve">. </w:t>
      </w:r>
      <w:r w:rsidR="00576EFB">
        <w:rPr>
          <w:rFonts w:eastAsia="Yu Mincho" w:cs="Times New Roman"/>
          <w:sz w:val="20"/>
          <w:szCs w:val="20"/>
          <w:lang w:val="en-US"/>
        </w:rPr>
        <w:t>Projects actively consider any indirect negative impact</w:t>
      </w:r>
      <w:r w:rsidR="0088447A">
        <w:rPr>
          <w:rFonts w:eastAsia="Yu Mincho" w:cs="Times New Roman"/>
          <w:sz w:val="20"/>
          <w:szCs w:val="20"/>
          <w:lang w:val="en-US"/>
        </w:rPr>
        <w:t xml:space="preserve"> which they may incur</w:t>
      </w:r>
    </w:p>
    <w:p w14:paraId="418CB613" w14:textId="77777777"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The approach to the project is feasible, appropriate and relevant to the local context</w:t>
      </w:r>
    </w:p>
    <w:p w14:paraId="4E31C0A2" w14:textId="08EF3977"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 xml:space="preserve">The project </w:t>
      </w:r>
      <w:r w:rsidR="00092372">
        <w:rPr>
          <w:rFonts w:eastAsia="Yu Mincho" w:cs="Times New Roman"/>
          <w:sz w:val="20"/>
          <w:szCs w:val="20"/>
          <w:lang w:val="en-US"/>
        </w:rPr>
        <w:t xml:space="preserve">ensures equitable benefit for all </w:t>
      </w:r>
      <w:r w:rsidRPr="00A6168E">
        <w:rPr>
          <w:rFonts w:eastAsia="Yu Mincho" w:cs="Times New Roman"/>
          <w:sz w:val="20"/>
          <w:szCs w:val="20"/>
          <w:lang w:val="en-US"/>
        </w:rPr>
        <w:t>regardless of gender, disability and other characteristics of social exclusion</w:t>
      </w:r>
    </w:p>
    <w:p w14:paraId="65B7D680" w14:textId="77777777"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The project activities can begin as soon as funding is received</w:t>
      </w:r>
    </w:p>
    <w:p w14:paraId="58ACC98F" w14:textId="77777777"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The partnership is equitable and has the capacity and capability to deliver the project</w:t>
      </w:r>
    </w:p>
    <w:p w14:paraId="77BD63B7" w14:textId="34542966" w:rsidR="00B427B5" w:rsidRPr="00A6168E" w:rsidRDefault="00B427B5" w:rsidP="00B427B5">
      <w:pPr>
        <w:numPr>
          <w:ilvl w:val="0"/>
          <w:numId w:val="5"/>
        </w:numPr>
        <w:spacing w:before="100" w:after="0" w:line="240" w:lineRule="auto"/>
        <w:contextualSpacing/>
        <w:jc w:val="both"/>
        <w:rPr>
          <w:rFonts w:eastAsia="Yu Mincho" w:cs="Times New Roman"/>
          <w:sz w:val="20"/>
          <w:szCs w:val="20"/>
          <w:lang w:val="en-US"/>
        </w:rPr>
      </w:pPr>
      <w:r w:rsidRPr="00A6168E">
        <w:rPr>
          <w:rFonts w:eastAsia="Yu Mincho" w:cs="Times New Roman"/>
          <w:sz w:val="20"/>
          <w:szCs w:val="20"/>
          <w:lang w:val="en-US"/>
        </w:rPr>
        <w:t>The project demonstrates value for money</w:t>
      </w:r>
      <w:r w:rsidR="00290D3B">
        <w:rPr>
          <w:rFonts w:eastAsia="Yu Mincho" w:cs="Times New Roman"/>
          <w:sz w:val="20"/>
          <w:szCs w:val="20"/>
          <w:lang w:val="en-US"/>
        </w:rPr>
        <w:t>.</w:t>
      </w:r>
    </w:p>
    <w:p w14:paraId="778D58C4" w14:textId="04935683" w:rsidR="00ED242D" w:rsidRDefault="00ED242D" w:rsidP="00ED242D">
      <w:pPr>
        <w:spacing w:before="100" w:after="0" w:line="240" w:lineRule="auto"/>
        <w:contextualSpacing/>
        <w:jc w:val="both"/>
        <w:rPr>
          <w:rFonts w:ascii="Calibri Light" w:eastAsia="Yu Mincho" w:hAnsi="Calibri Light" w:cs="Times New Roman"/>
          <w:sz w:val="20"/>
          <w:szCs w:val="20"/>
          <w:lang w:val="en-US"/>
        </w:rPr>
      </w:pPr>
    </w:p>
    <w:p w14:paraId="6041F946" w14:textId="77777777" w:rsidR="003B2F34" w:rsidRPr="003B2F34" w:rsidRDefault="003B2F34" w:rsidP="003B2F34">
      <w:pPr>
        <w:pBdr>
          <w:top w:val="single" w:sz="24" w:space="0" w:color="C4E5F5"/>
          <w:left w:val="single" w:sz="24" w:space="0" w:color="C4E5F5"/>
          <w:bottom w:val="single" w:sz="24" w:space="0" w:color="C4E5F5"/>
          <w:right w:val="single" w:sz="24" w:space="0" w:color="C4E5F5"/>
        </w:pBdr>
        <w:shd w:val="clear" w:color="auto" w:fill="C4E5F5"/>
        <w:spacing w:before="100" w:after="0" w:line="240" w:lineRule="auto"/>
        <w:outlineLvl w:val="1"/>
        <w:rPr>
          <w:rFonts w:ascii="Calibri" w:eastAsia="Yu Mincho" w:hAnsi="Calibri" w:cs="Arial"/>
          <w:caps/>
          <w:spacing w:val="15"/>
          <w:sz w:val="20"/>
          <w:szCs w:val="20"/>
          <w:lang w:val="en-US"/>
        </w:rPr>
      </w:pPr>
      <w:r w:rsidRPr="003B2F34">
        <w:rPr>
          <w:rFonts w:ascii="Calibri" w:eastAsia="Yu Mincho" w:hAnsi="Calibri" w:cs="Arial"/>
          <w:caps/>
          <w:spacing w:val="15"/>
          <w:sz w:val="20"/>
          <w:szCs w:val="20"/>
          <w:lang w:val="en-US"/>
        </w:rPr>
        <w:t xml:space="preserve">Funding restriction </w:t>
      </w:r>
    </w:p>
    <w:p w14:paraId="5E04D183" w14:textId="3928E471" w:rsidR="003B2F34" w:rsidRPr="003B2F34" w:rsidRDefault="003B2F34" w:rsidP="0088447A">
      <w:pPr>
        <w:pBdr>
          <w:top w:val="single" w:sz="6" w:space="2" w:color="186B94"/>
        </w:pBdr>
        <w:spacing w:before="300" w:line="240" w:lineRule="auto"/>
        <w:outlineLvl w:val="2"/>
        <w:rPr>
          <w:rFonts w:ascii="Calibri" w:eastAsia="Yu Mincho" w:hAnsi="Calibri" w:cs="Arial"/>
          <w:caps/>
          <w:color w:val="0C3449"/>
          <w:spacing w:val="15"/>
          <w:sz w:val="20"/>
          <w:szCs w:val="20"/>
        </w:rPr>
      </w:pPr>
      <w:r w:rsidRPr="003B2F34">
        <w:rPr>
          <w:rFonts w:ascii="Calibri" w:eastAsia="Yu Mincho" w:hAnsi="Calibri" w:cs="Arial"/>
          <w:caps/>
          <w:color w:val="0C3449"/>
          <w:spacing w:val="15"/>
          <w:sz w:val="20"/>
          <w:szCs w:val="20"/>
        </w:rPr>
        <w:t>This call for applications will fund</w:t>
      </w:r>
    </w:p>
    <w:p w14:paraId="79E67BAF" w14:textId="27E29293" w:rsidR="003B2F34" w:rsidRPr="003B2F34" w:rsidRDefault="003B2F34" w:rsidP="003B2F34">
      <w:pPr>
        <w:numPr>
          <w:ilvl w:val="0"/>
          <w:numId w:val="6"/>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 xml:space="preserve">Remote training, workshop, mentoring and communication costs, e.g. </w:t>
      </w:r>
      <w:r w:rsidR="00BD03C9">
        <w:rPr>
          <w:rFonts w:ascii="Calibri" w:eastAsia="Yu Mincho" w:hAnsi="Calibri" w:cs="Arial"/>
          <w:bCs/>
          <w:sz w:val="20"/>
          <w:szCs w:val="20"/>
        </w:rPr>
        <w:t>online</w:t>
      </w:r>
      <w:r w:rsidRPr="003B2F34" w:rsidDel="004659B3">
        <w:rPr>
          <w:rFonts w:ascii="Calibri" w:eastAsia="Yu Mincho" w:hAnsi="Calibri" w:cs="Arial"/>
          <w:bCs/>
          <w:sz w:val="20"/>
          <w:szCs w:val="20"/>
        </w:rPr>
        <w:t xml:space="preserve"> </w:t>
      </w:r>
      <w:r w:rsidR="004659B3">
        <w:rPr>
          <w:rFonts w:ascii="Calibri" w:eastAsia="Yu Mincho" w:hAnsi="Calibri" w:cs="Arial"/>
          <w:bCs/>
          <w:sz w:val="20"/>
          <w:szCs w:val="20"/>
        </w:rPr>
        <w:t xml:space="preserve">meeting platforms </w:t>
      </w:r>
      <w:r w:rsidRPr="003B2F34">
        <w:rPr>
          <w:rFonts w:ascii="Calibri" w:eastAsia="Yu Mincho" w:hAnsi="Calibri" w:cs="Arial"/>
          <w:bCs/>
          <w:sz w:val="20"/>
          <w:szCs w:val="20"/>
        </w:rPr>
        <w:t>or e-learning subscriptions</w:t>
      </w:r>
    </w:p>
    <w:p w14:paraId="1A23D466" w14:textId="6BA733B0" w:rsidR="003B2F34" w:rsidRPr="003B2F34" w:rsidRDefault="003B2F34" w:rsidP="003B2F34">
      <w:pPr>
        <w:numPr>
          <w:ilvl w:val="0"/>
          <w:numId w:val="6"/>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lastRenderedPageBreak/>
        <w:t>Equipment and other physical resources</w:t>
      </w:r>
      <w:r w:rsidR="00F525AF">
        <w:rPr>
          <w:rFonts w:ascii="Calibri" w:eastAsia="Yu Mincho" w:hAnsi="Calibri" w:cs="Arial"/>
          <w:bCs/>
          <w:sz w:val="20"/>
          <w:szCs w:val="20"/>
        </w:rPr>
        <w:t xml:space="preserve"> </w:t>
      </w:r>
      <w:r w:rsidR="00EF20ED">
        <w:rPr>
          <w:rFonts w:ascii="Calibri" w:eastAsia="Yu Mincho" w:hAnsi="Calibri" w:cs="Arial"/>
          <w:bCs/>
          <w:sz w:val="20"/>
          <w:szCs w:val="20"/>
        </w:rPr>
        <w:t>for project management purposes</w:t>
      </w:r>
      <w:r w:rsidR="004659B3">
        <w:rPr>
          <w:rFonts w:ascii="Calibri" w:eastAsia="Yu Mincho" w:hAnsi="Calibri" w:cs="Arial"/>
          <w:bCs/>
          <w:sz w:val="20"/>
          <w:szCs w:val="20"/>
        </w:rPr>
        <w:t xml:space="preserve"> (i.e. laptops</w:t>
      </w:r>
      <w:r w:rsidR="00D21B00">
        <w:rPr>
          <w:rFonts w:ascii="Calibri" w:eastAsia="Yu Mincho" w:hAnsi="Calibri" w:cs="Arial"/>
          <w:bCs/>
          <w:sz w:val="20"/>
          <w:szCs w:val="20"/>
        </w:rPr>
        <w:t xml:space="preserve"> or</w:t>
      </w:r>
      <w:r w:rsidR="004659B3">
        <w:rPr>
          <w:rFonts w:ascii="Calibri" w:eastAsia="Yu Mincho" w:hAnsi="Calibri" w:cs="Arial"/>
          <w:bCs/>
          <w:sz w:val="20"/>
          <w:szCs w:val="20"/>
        </w:rPr>
        <w:t xml:space="preserve"> mobile devices</w:t>
      </w:r>
      <w:r w:rsidR="00D21B00">
        <w:rPr>
          <w:rFonts w:ascii="Calibri" w:eastAsia="Yu Mincho" w:hAnsi="Calibri" w:cs="Arial"/>
          <w:bCs/>
          <w:sz w:val="20"/>
          <w:szCs w:val="20"/>
        </w:rPr>
        <w:t>)</w:t>
      </w:r>
    </w:p>
    <w:p w14:paraId="6B980F37" w14:textId="183088D9" w:rsidR="003B2F34" w:rsidRPr="003B2F34" w:rsidRDefault="003B2F34" w:rsidP="003B2F34">
      <w:pPr>
        <w:numPr>
          <w:ilvl w:val="0"/>
          <w:numId w:val="6"/>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 xml:space="preserve">Any activity or item/s that can be proven to meet the aims of the </w:t>
      </w:r>
      <w:r w:rsidR="004D299F">
        <w:rPr>
          <w:rFonts w:ascii="Calibri" w:eastAsia="Yu Mincho" w:hAnsi="Calibri" w:cs="Arial"/>
          <w:bCs/>
          <w:sz w:val="20"/>
          <w:szCs w:val="20"/>
        </w:rPr>
        <w:t xml:space="preserve">UKPHS </w:t>
      </w:r>
      <w:r w:rsidR="6710CE6C" w:rsidRPr="36572566">
        <w:rPr>
          <w:rFonts w:ascii="Calibri" w:eastAsia="Yu Mincho" w:hAnsi="Calibri" w:cs="Arial"/>
          <w:sz w:val="20"/>
          <w:szCs w:val="20"/>
        </w:rPr>
        <w:t>COVID</w:t>
      </w:r>
      <w:r w:rsidR="004D299F">
        <w:rPr>
          <w:rFonts w:ascii="Calibri" w:eastAsia="Yu Mincho" w:hAnsi="Calibri" w:cs="Arial"/>
          <w:bCs/>
          <w:sz w:val="20"/>
          <w:szCs w:val="20"/>
        </w:rPr>
        <w:t>-19 Response Fund</w:t>
      </w:r>
    </w:p>
    <w:p w14:paraId="438C99BB" w14:textId="5AC2CA78" w:rsidR="003B2F34" w:rsidRPr="003B2F34" w:rsidRDefault="003B2F34" w:rsidP="003B2F34">
      <w:pPr>
        <w:numPr>
          <w:ilvl w:val="0"/>
          <w:numId w:val="6"/>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 xml:space="preserve">Project management costs, for the </w:t>
      </w:r>
      <w:r w:rsidR="004D299F">
        <w:rPr>
          <w:rFonts w:ascii="Calibri" w:eastAsia="Yu Mincho" w:hAnsi="Calibri" w:cs="Arial"/>
          <w:bCs/>
          <w:sz w:val="20"/>
          <w:szCs w:val="20"/>
        </w:rPr>
        <w:t xml:space="preserve">UK or </w:t>
      </w:r>
      <w:r w:rsidRPr="003B2F34">
        <w:rPr>
          <w:rFonts w:ascii="Calibri" w:eastAsia="Yu Mincho" w:hAnsi="Calibri" w:cs="Arial"/>
          <w:bCs/>
          <w:sz w:val="20"/>
          <w:szCs w:val="20"/>
        </w:rPr>
        <w:t xml:space="preserve">LMIC partner, up to a maximum of </w:t>
      </w:r>
      <w:r w:rsidR="00444260">
        <w:rPr>
          <w:rFonts w:ascii="Calibri" w:eastAsia="Yu Mincho" w:hAnsi="Calibri" w:cs="Arial"/>
          <w:bCs/>
          <w:sz w:val="20"/>
          <w:szCs w:val="20"/>
        </w:rPr>
        <w:t>5</w:t>
      </w:r>
      <w:r w:rsidRPr="003B2F34">
        <w:rPr>
          <w:rFonts w:ascii="Calibri" w:eastAsia="Yu Mincho" w:hAnsi="Calibri" w:cs="Arial"/>
          <w:bCs/>
          <w:sz w:val="20"/>
          <w:szCs w:val="20"/>
        </w:rPr>
        <w:t>0% of the total grant. This can include project or MEL staff salary contributions</w:t>
      </w:r>
    </w:p>
    <w:p w14:paraId="0A7FFF46" w14:textId="26E72643" w:rsidR="00EF20ED" w:rsidRPr="00443B4B" w:rsidRDefault="003B2F34" w:rsidP="00443B4B">
      <w:pPr>
        <w:numPr>
          <w:ilvl w:val="0"/>
          <w:numId w:val="6"/>
        </w:numPr>
        <w:spacing w:before="100" w:after="200" w:line="240" w:lineRule="auto"/>
        <w:contextualSpacing/>
        <w:jc w:val="both"/>
        <w:rPr>
          <w:rFonts w:ascii="Calibri" w:eastAsia="Yu Mincho" w:hAnsi="Calibri" w:cs="Arial"/>
          <w:sz w:val="20"/>
          <w:szCs w:val="20"/>
        </w:rPr>
      </w:pPr>
      <w:r w:rsidRPr="003B2F34">
        <w:rPr>
          <w:rFonts w:ascii="Calibri" w:eastAsia="Yu Mincho" w:hAnsi="Calibri" w:cs="Arial"/>
          <w:sz w:val="20"/>
          <w:szCs w:val="20"/>
        </w:rPr>
        <w:t>Contingency up to 5% of the total budget to factor in exchange rate variances and/or bank charges</w:t>
      </w:r>
    </w:p>
    <w:p w14:paraId="3BB8BC0D" w14:textId="39130EF9" w:rsidR="00FB2B6B" w:rsidRPr="00FB2B6B" w:rsidRDefault="00FB2B6B" w:rsidP="00443B4B">
      <w:pPr>
        <w:numPr>
          <w:ilvl w:val="0"/>
          <w:numId w:val="6"/>
        </w:numPr>
        <w:spacing w:before="100" w:after="200" w:line="240" w:lineRule="auto"/>
        <w:contextualSpacing/>
        <w:jc w:val="both"/>
        <w:rPr>
          <w:rFonts w:ascii="Calibri" w:eastAsia="Yu Mincho" w:hAnsi="Calibri" w:cs="Arial"/>
          <w:sz w:val="18"/>
          <w:szCs w:val="18"/>
        </w:rPr>
      </w:pPr>
      <w:r w:rsidRPr="00FB2B6B">
        <w:rPr>
          <w:bCs/>
          <w:sz w:val="20"/>
          <w:szCs w:val="20"/>
        </w:rPr>
        <w:t xml:space="preserve">Publications and the development of web pages. NB any digital spend, defined as “external-facing service provided through the internet to citizens, businesses, civil society or NGOs”, will need to be authorised by the </w:t>
      </w:r>
      <w:hyperlink r:id="rId14" w:history="1">
        <w:r w:rsidRPr="00FB2B6B">
          <w:rPr>
            <w:rStyle w:val="Hyperlink"/>
            <w:bCs/>
            <w:sz w:val="20"/>
            <w:szCs w:val="20"/>
          </w:rPr>
          <w:t>DFID Digital Spend Panel</w:t>
        </w:r>
      </w:hyperlink>
    </w:p>
    <w:p w14:paraId="75FDBB3C" w14:textId="7D507B4E" w:rsidR="00CB515C" w:rsidRPr="00443B4B" w:rsidRDefault="00C733EB" w:rsidP="00443B4B">
      <w:pPr>
        <w:numPr>
          <w:ilvl w:val="0"/>
          <w:numId w:val="6"/>
        </w:numPr>
        <w:spacing w:before="100" w:after="200" w:line="240" w:lineRule="auto"/>
        <w:contextualSpacing/>
        <w:jc w:val="both"/>
        <w:rPr>
          <w:rFonts w:ascii="Calibri" w:eastAsia="Yu Mincho" w:hAnsi="Calibri" w:cs="Arial"/>
          <w:sz w:val="20"/>
          <w:szCs w:val="20"/>
        </w:rPr>
      </w:pPr>
      <w:r>
        <w:rPr>
          <w:rFonts w:ascii="Calibri" w:eastAsia="Yu Mincho" w:hAnsi="Calibri" w:cs="Arial"/>
          <w:sz w:val="20"/>
          <w:szCs w:val="20"/>
        </w:rPr>
        <w:t>Development of d</w:t>
      </w:r>
      <w:r w:rsidRPr="00C733EB">
        <w:rPr>
          <w:rFonts w:ascii="Calibri" w:eastAsia="Yu Mincho" w:hAnsi="Calibri" w:cs="Arial"/>
          <w:sz w:val="20"/>
          <w:szCs w:val="20"/>
        </w:rPr>
        <w:t>iscussion documents, policy briefs and technical notes</w:t>
      </w:r>
      <w:r w:rsidR="000E36A9">
        <w:rPr>
          <w:rFonts w:ascii="Calibri" w:eastAsia="Yu Mincho" w:hAnsi="Calibri" w:cs="Arial"/>
          <w:sz w:val="20"/>
          <w:szCs w:val="20"/>
        </w:rPr>
        <w:t xml:space="preserve"> for dissemination of learning</w:t>
      </w:r>
    </w:p>
    <w:p w14:paraId="071AA5BE" w14:textId="77777777" w:rsidR="003B2F34" w:rsidRPr="003B2F34" w:rsidRDefault="003B2F34" w:rsidP="0088447A">
      <w:pPr>
        <w:pBdr>
          <w:top w:val="single" w:sz="6" w:space="2" w:color="186B94"/>
        </w:pBdr>
        <w:spacing w:before="300" w:line="240" w:lineRule="auto"/>
        <w:outlineLvl w:val="2"/>
        <w:rPr>
          <w:rFonts w:ascii="Calibri" w:eastAsia="Yu Mincho" w:hAnsi="Calibri" w:cs="Arial"/>
          <w:caps/>
          <w:color w:val="0C3449"/>
          <w:spacing w:val="15"/>
          <w:sz w:val="20"/>
          <w:szCs w:val="20"/>
        </w:rPr>
      </w:pPr>
      <w:r w:rsidRPr="003B2F34">
        <w:rPr>
          <w:rFonts w:ascii="Calibri" w:eastAsia="Yu Mincho" w:hAnsi="Calibri" w:cs="Arial"/>
          <w:caps/>
          <w:color w:val="0C3449"/>
          <w:spacing w:val="15"/>
          <w:sz w:val="20"/>
          <w:szCs w:val="20"/>
        </w:rPr>
        <w:t xml:space="preserve">This call for applications will </w:t>
      </w:r>
      <w:r w:rsidRPr="0088447A">
        <w:rPr>
          <w:rFonts w:ascii="Calibri" w:eastAsia="Yu Mincho" w:hAnsi="Calibri" w:cs="Arial"/>
          <w:caps/>
          <w:color w:val="0C3449"/>
          <w:spacing w:val="15"/>
          <w:sz w:val="20"/>
          <w:szCs w:val="20"/>
          <w:u w:val="single"/>
        </w:rPr>
        <w:t>not</w:t>
      </w:r>
      <w:r w:rsidRPr="003B2F34">
        <w:rPr>
          <w:rFonts w:ascii="Calibri" w:eastAsia="Yu Mincho" w:hAnsi="Calibri" w:cs="Arial"/>
          <w:caps/>
          <w:color w:val="0C3449"/>
          <w:spacing w:val="15"/>
          <w:sz w:val="20"/>
          <w:szCs w:val="20"/>
        </w:rPr>
        <w:t xml:space="preserve"> fund</w:t>
      </w:r>
    </w:p>
    <w:p w14:paraId="24552DD6" w14:textId="44EE5E3F" w:rsidR="003B2F34" w:rsidRPr="003B2F34" w:rsidRDefault="003B2F34" w:rsidP="003B2F34">
      <w:pPr>
        <w:numPr>
          <w:ilvl w:val="0"/>
          <w:numId w:val="7"/>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 xml:space="preserve">Personal Protective Equipment </w:t>
      </w:r>
      <w:r w:rsidR="42E96ED6" w:rsidRPr="36572566">
        <w:rPr>
          <w:rFonts w:ascii="Calibri" w:eastAsia="Yu Mincho" w:hAnsi="Calibri" w:cs="Arial"/>
          <w:sz w:val="20"/>
          <w:szCs w:val="20"/>
        </w:rPr>
        <w:t xml:space="preserve">(PPE) </w:t>
      </w:r>
      <w:r w:rsidRPr="003B2F34">
        <w:rPr>
          <w:rFonts w:ascii="Calibri" w:eastAsia="Yu Mincho" w:hAnsi="Calibri" w:cs="Arial"/>
          <w:bCs/>
          <w:sz w:val="20"/>
          <w:szCs w:val="20"/>
        </w:rPr>
        <w:t>costs, including materials used to manufacture PPE</w:t>
      </w:r>
    </w:p>
    <w:p w14:paraId="72CC2CFA" w14:textId="2E7C5033" w:rsidR="003B2F34" w:rsidRPr="003B2F34" w:rsidRDefault="003B2F34" w:rsidP="003B2F34">
      <w:pPr>
        <w:numPr>
          <w:ilvl w:val="0"/>
          <w:numId w:val="7"/>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 xml:space="preserve">Cost of IPC equipment or materials, including the raw materials used to make </w:t>
      </w:r>
      <w:r w:rsidR="004138E0">
        <w:rPr>
          <w:rFonts w:ascii="Calibri" w:eastAsia="Yu Mincho" w:hAnsi="Calibri" w:cs="Arial"/>
          <w:bCs/>
          <w:sz w:val="20"/>
          <w:szCs w:val="20"/>
        </w:rPr>
        <w:t>a</w:t>
      </w:r>
      <w:r w:rsidR="00740F4D">
        <w:rPr>
          <w:rFonts w:ascii="Calibri" w:eastAsia="Yu Mincho" w:hAnsi="Calibri" w:cs="Arial"/>
          <w:bCs/>
          <w:sz w:val="20"/>
          <w:szCs w:val="20"/>
        </w:rPr>
        <w:t>lcohol-based</w:t>
      </w:r>
      <w:r w:rsidR="004138E0">
        <w:rPr>
          <w:rFonts w:ascii="Calibri" w:eastAsia="Yu Mincho" w:hAnsi="Calibri" w:cs="Arial"/>
          <w:bCs/>
          <w:sz w:val="20"/>
          <w:szCs w:val="20"/>
        </w:rPr>
        <w:t xml:space="preserve"> hand rub </w:t>
      </w:r>
      <w:r w:rsidR="00445349">
        <w:rPr>
          <w:rFonts w:ascii="Calibri" w:eastAsia="Yu Mincho" w:hAnsi="Calibri" w:cs="Arial"/>
          <w:bCs/>
          <w:sz w:val="20"/>
          <w:szCs w:val="20"/>
        </w:rPr>
        <w:t xml:space="preserve">or </w:t>
      </w:r>
      <w:r w:rsidR="00740F4D">
        <w:rPr>
          <w:rFonts w:ascii="Calibri" w:eastAsia="Yu Mincho" w:hAnsi="Calibri" w:cs="Arial"/>
          <w:bCs/>
          <w:sz w:val="20"/>
          <w:szCs w:val="20"/>
        </w:rPr>
        <w:t>alternative</w:t>
      </w:r>
      <w:r w:rsidR="00E97E65">
        <w:rPr>
          <w:rFonts w:ascii="Calibri" w:eastAsia="Yu Mincho" w:hAnsi="Calibri" w:cs="Arial"/>
          <w:bCs/>
          <w:sz w:val="20"/>
          <w:szCs w:val="20"/>
        </w:rPr>
        <w:t xml:space="preserve"> </w:t>
      </w:r>
      <w:r w:rsidR="00CC1067">
        <w:rPr>
          <w:rFonts w:ascii="Calibri" w:eastAsia="Yu Mincho" w:hAnsi="Calibri" w:cs="Arial"/>
          <w:bCs/>
          <w:sz w:val="20"/>
          <w:szCs w:val="20"/>
        </w:rPr>
        <w:t>antibacterial substances</w:t>
      </w:r>
      <w:r w:rsidR="00100C52">
        <w:rPr>
          <w:rFonts w:ascii="Calibri" w:eastAsia="Yu Mincho" w:hAnsi="Calibri" w:cs="Arial"/>
          <w:bCs/>
          <w:sz w:val="20"/>
          <w:szCs w:val="20"/>
        </w:rPr>
        <w:t xml:space="preserve">. The decision to </w:t>
      </w:r>
      <w:r w:rsidR="00CB45E3">
        <w:rPr>
          <w:rFonts w:ascii="Calibri" w:eastAsia="Yu Mincho" w:hAnsi="Calibri" w:cs="Arial"/>
          <w:bCs/>
          <w:sz w:val="20"/>
          <w:szCs w:val="20"/>
        </w:rPr>
        <w:t xml:space="preserve">not fund the purchase of PPE or IPC materials and equipment is a result of </w:t>
      </w:r>
      <w:r w:rsidR="000A3742">
        <w:rPr>
          <w:rFonts w:ascii="Calibri" w:eastAsia="Yu Mincho" w:hAnsi="Calibri" w:cs="Arial"/>
          <w:bCs/>
          <w:sz w:val="20"/>
          <w:szCs w:val="20"/>
        </w:rPr>
        <w:t xml:space="preserve">FCDO </w:t>
      </w:r>
      <w:r w:rsidR="00541FC3">
        <w:rPr>
          <w:rFonts w:ascii="Calibri" w:eastAsia="Yu Mincho" w:hAnsi="Calibri" w:cs="Arial"/>
          <w:bCs/>
          <w:sz w:val="20"/>
          <w:szCs w:val="20"/>
        </w:rPr>
        <w:t xml:space="preserve">funding these costs through macro means and in alignment with individual governments in </w:t>
      </w:r>
      <w:r w:rsidR="0019172F">
        <w:rPr>
          <w:rFonts w:ascii="Calibri" w:eastAsia="Yu Mincho" w:hAnsi="Calibri" w:cs="Arial"/>
          <w:bCs/>
          <w:sz w:val="20"/>
          <w:szCs w:val="20"/>
        </w:rPr>
        <w:t>order to ensure appropriate economies of scale and ensure sufficient coverage</w:t>
      </w:r>
      <w:r w:rsidR="00A032BD">
        <w:rPr>
          <w:rFonts w:ascii="Calibri" w:eastAsia="Yu Mincho" w:hAnsi="Calibri" w:cs="Arial"/>
          <w:bCs/>
          <w:sz w:val="20"/>
          <w:szCs w:val="20"/>
        </w:rPr>
        <w:t xml:space="preserve"> of facilities.</w:t>
      </w:r>
    </w:p>
    <w:p w14:paraId="1DE6628A" w14:textId="77777777" w:rsidR="003B2F34" w:rsidRPr="003B2F34" w:rsidRDefault="003B2F34" w:rsidP="003B2F34">
      <w:pPr>
        <w:numPr>
          <w:ilvl w:val="0"/>
          <w:numId w:val="7"/>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Entertainment costs</w:t>
      </w:r>
    </w:p>
    <w:p w14:paraId="2A5F1B61" w14:textId="25D67273" w:rsidR="003B2F34" w:rsidRPr="003B2F34" w:rsidRDefault="003B2F34" w:rsidP="003B2F34">
      <w:pPr>
        <w:numPr>
          <w:ilvl w:val="0"/>
          <w:numId w:val="7"/>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Costs relating to the delivery of health services (e.g. clinical staff salaries)</w:t>
      </w:r>
    </w:p>
    <w:p w14:paraId="1DAA2A83" w14:textId="77777777" w:rsidR="003B2F34" w:rsidRPr="003B2F34" w:rsidRDefault="003B2F34" w:rsidP="003B2F34">
      <w:pPr>
        <w:numPr>
          <w:ilvl w:val="0"/>
          <w:numId w:val="7"/>
        </w:numPr>
        <w:spacing w:before="100" w:after="20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 xml:space="preserve">International travel, and associated costs </w:t>
      </w:r>
    </w:p>
    <w:p w14:paraId="242DA800" w14:textId="77777777" w:rsidR="003B2F34" w:rsidRPr="003B2F34" w:rsidRDefault="003B2F34" w:rsidP="0076327A">
      <w:pPr>
        <w:numPr>
          <w:ilvl w:val="0"/>
          <w:numId w:val="7"/>
        </w:numPr>
        <w:spacing w:before="100" w:after="0" w:line="240" w:lineRule="auto"/>
        <w:contextualSpacing/>
        <w:jc w:val="both"/>
        <w:rPr>
          <w:rFonts w:ascii="Calibri" w:eastAsia="Yu Mincho" w:hAnsi="Calibri" w:cs="Arial"/>
          <w:bCs/>
          <w:sz w:val="20"/>
          <w:szCs w:val="20"/>
        </w:rPr>
      </w:pPr>
      <w:r w:rsidRPr="003B2F34">
        <w:rPr>
          <w:rFonts w:ascii="Calibri" w:eastAsia="Yu Mincho" w:hAnsi="Calibri" w:cs="Arial"/>
          <w:bCs/>
          <w:sz w:val="20"/>
          <w:szCs w:val="20"/>
        </w:rPr>
        <w:t>Professional fees/Sitting allowances. While attendees at capacity development activities may be reimbursed for their travel and expenses, they will not be paid for their time.</w:t>
      </w:r>
    </w:p>
    <w:p w14:paraId="5DF29BF8" w14:textId="77777777" w:rsidR="003B2F34" w:rsidRPr="007240BA" w:rsidRDefault="003B2F34" w:rsidP="007240BA">
      <w:pPr>
        <w:pStyle w:val="ListParagraph"/>
        <w:numPr>
          <w:ilvl w:val="0"/>
          <w:numId w:val="7"/>
        </w:numPr>
        <w:spacing w:before="0"/>
        <w:rPr>
          <w:rFonts w:eastAsia="Yu Mincho"/>
        </w:rPr>
      </w:pPr>
      <w:r w:rsidRPr="007240BA">
        <w:rPr>
          <w:rFonts w:eastAsia="Yu Mincho"/>
        </w:rPr>
        <w:t xml:space="preserve">Any activity, other than the purchasing of equipment, that cannot begin within two weeks of funds being received. </w:t>
      </w:r>
    </w:p>
    <w:p w14:paraId="3F565C99" w14:textId="77777777" w:rsidR="003B2F34" w:rsidRPr="003B2F34" w:rsidRDefault="003B2F34" w:rsidP="003B2F34">
      <w:pPr>
        <w:pBdr>
          <w:top w:val="single" w:sz="24" w:space="0" w:color="C4E5F5"/>
          <w:left w:val="single" w:sz="24" w:space="0" w:color="C4E5F5"/>
          <w:bottom w:val="single" w:sz="24" w:space="0" w:color="C4E5F5"/>
          <w:right w:val="single" w:sz="24" w:space="0" w:color="C4E5F5"/>
        </w:pBdr>
        <w:shd w:val="clear" w:color="auto" w:fill="C4E5F5"/>
        <w:spacing w:before="100" w:after="0" w:line="240" w:lineRule="auto"/>
        <w:outlineLvl w:val="1"/>
        <w:rPr>
          <w:rFonts w:ascii="Calibri" w:eastAsia="Yu Mincho" w:hAnsi="Calibri" w:cs="Arial"/>
          <w:caps/>
          <w:spacing w:val="15"/>
          <w:sz w:val="20"/>
          <w:szCs w:val="20"/>
        </w:rPr>
      </w:pPr>
      <w:bookmarkStart w:id="1" w:name="_Hlk37769378"/>
      <w:r w:rsidRPr="003B2F34">
        <w:rPr>
          <w:rFonts w:ascii="Calibri" w:eastAsia="Yu Mincho" w:hAnsi="Calibri" w:cs="Arial"/>
          <w:caps/>
          <w:spacing w:val="15"/>
          <w:sz w:val="20"/>
          <w:szCs w:val="20"/>
        </w:rPr>
        <w:t>Application and selection process</w:t>
      </w:r>
    </w:p>
    <w:bookmarkEnd w:id="1"/>
    <w:p w14:paraId="68A2796B" w14:textId="17138712" w:rsidR="003B2F34" w:rsidRPr="003B2F34" w:rsidRDefault="003B2F34" w:rsidP="003B2F34">
      <w:pPr>
        <w:spacing w:before="100" w:after="200" w:line="240" w:lineRule="auto"/>
        <w:rPr>
          <w:rFonts w:ascii="Calibri" w:eastAsia="Yu Mincho" w:hAnsi="Calibri" w:cs="Arial"/>
          <w:sz w:val="20"/>
          <w:szCs w:val="20"/>
        </w:rPr>
      </w:pPr>
      <w:r w:rsidRPr="003B2F34">
        <w:rPr>
          <w:rFonts w:ascii="Calibri" w:eastAsia="Yu Mincho" w:hAnsi="Calibri" w:cs="Arial"/>
          <w:sz w:val="20"/>
          <w:szCs w:val="20"/>
        </w:rPr>
        <w:t>Applications will be accepted</w:t>
      </w:r>
      <w:r w:rsidR="00F94EBE">
        <w:rPr>
          <w:rFonts w:ascii="Calibri" w:eastAsia="Yu Mincho" w:hAnsi="Calibri" w:cs="Arial"/>
          <w:sz w:val="20"/>
          <w:szCs w:val="20"/>
        </w:rPr>
        <w:t xml:space="preserve"> </w:t>
      </w:r>
      <w:r w:rsidRPr="003B2F34">
        <w:rPr>
          <w:rFonts w:ascii="Calibri" w:eastAsia="Yu Mincho" w:hAnsi="Calibri" w:cs="Arial"/>
          <w:sz w:val="20"/>
          <w:szCs w:val="20"/>
        </w:rPr>
        <w:t xml:space="preserve">from the </w:t>
      </w:r>
      <w:r w:rsidR="0059590D">
        <w:rPr>
          <w:rFonts w:ascii="Calibri" w:eastAsia="Yu Mincho" w:hAnsi="Calibri" w:cs="Arial"/>
          <w:b/>
          <w:bCs/>
          <w:sz w:val="20"/>
          <w:szCs w:val="20"/>
        </w:rPr>
        <w:t>30</w:t>
      </w:r>
      <w:r w:rsidR="0059590D" w:rsidRPr="00392F10">
        <w:rPr>
          <w:rFonts w:ascii="Calibri" w:eastAsia="Yu Mincho" w:hAnsi="Calibri" w:cs="Arial"/>
          <w:b/>
          <w:bCs/>
          <w:sz w:val="20"/>
          <w:szCs w:val="20"/>
          <w:vertAlign w:val="superscript"/>
        </w:rPr>
        <w:t>th</w:t>
      </w:r>
      <w:r w:rsidR="0059590D">
        <w:rPr>
          <w:rFonts w:ascii="Calibri" w:eastAsia="Yu Mincho" w:hAnsi="Calibri" w:cs="Arial"/>
          <w:b/>
          <w:bCs/>
          <w:sz w:val="20"/>
          <w:szCs w:val="20"/>
        </w:rPr>
        <w:t xml:space="preserve"> September</w:t>
      </w:r>
      <w:r w:rsidRPr="003B2F34">
        <w:rPr>
          <w:rFonts w:ascii="Calibri" w:eastAsia="Yu Mincho" w:hAnsi="Calibri" w:cs="Arial"/>
          <w:b/>
          <w:bCs/>
          <w:sz w:val="20"/>
          <w:szCs w:val="20"/>
        </w:rPr>
        <w:t xml:space="preserve"> </w:t>
      </w:r>
      <w:r w:rsidRPr="003B2F34">
        <w:rPr>
          <w:rFonts w:ascii="Calibri" w:eastAsia="Yu Mincho" w:hAnsi="Calibri" w:cs="Arial"/>
          <w:b/>
          <w:bCs/>
          <w:sz w:val="20"/>
          <w:szCs w:val="20"/>
          <w:lang w:val="en-US"/>
        </w:rPr>
        <w:t>2020</w:t>
      </w:r>
      <w:r w:rsidRPr="003B2F34">
        <w:rPr>
          <w:rFonts w:ascii="Calibri" w:eastAsia="Yu Mincho" w:hAnsi="Calibri" w:cs="Arial"/>
          <w:sz w:val="20"/>
          <w:szCs w:val="20"/>
          <w:lang w:val="en-US"/>
        </w:rPr>
        <w:t xml:space="preserve"> </w:t>
      </w:r>
      <w:r w:rsidR="009943A3">
        <w:rPr>
          <w:rFonts w:ascii="Calibri" w:eastAsia="Yu Mincho" w:hAnsi="Calibri" w:cs="Arial"/>
          <w:sz w:val="20"/>
          <w:szCs w:val="20"/>
          <w:lang w:val="en-US"/>
        </w:rPr>
        <w:t xml:space="preserve">until </w:t>
      </w:r>
      <w:r w:rsidR="00043DF8" w:rsidRPr="00043DF8">
        <w:rPr>
          <w:rFonts w:ascii="Calibri" w:eastAsia="Yu Mincho" w:hAnsi="Calibri" w:cs="Arial"/>
          <w:b/>
          <w:bCs/>
          <w:sz w:val="20"/>
          <w:szCs w:val="20"/>
          <w:lang w:val="en-US"/>
        </w:rPr>
        <w:t>23:59 on</w:t>
      </w:r>
      <w:r w:rsidR="0059590D">
        <w:rPr>
          <w:rFonts w:ascii="Calibri" w:eastAsia="Yu Mincho" w:hAnsi="Calibri" w:cs="Arial"/>
          <w:sz w:val="20"/>
          <w:szCs w:val="20"/>
          <w:lang w:val="en-US"/>
        </w:rPr>
        <w:t xml:space="preserve"> </w:t>
      </w:r>
      <w:r w:rsidR="0059590D" w:rsidRPr="00392F10">
        <w:rPr>
          <w:rFonts w:ascii="Calibri" w:eastAsia="Yu Mincho" w:hAnsi="Calibri" w:cs="Arial"/>
          <w:b/>
          <w:bCs/>
          <w:sz w:val="20"/>
          <w:szCs w:val="20"/>
          <w:lang w:val="en-US"/>
        </w:rPr>
        <w:t>15</w:t>
      </w:r>
      <w:r w:rsidR="0059590D" w:rsidRPr="00392F10">
        <w:rPr>
          <w:rFonts w:ascii="Calibri" w:eastAsia="Yu Mincho" w:hAnsi="Calibri" w:cs="Arial"/>
          <w:b/>
          <w:bCs/>
          <w:sz w:val="20"/>
          <w:szCs w:val="20"/>
          <w:vertAlign w:val="superscript"/>
          <w:lang w:val="en-US"/>
        </w:rPr>
        <w:t>th</w:t>
      </w:r>
      <w:r w:rsidR="0059590D" w:rsidRPr="00392F10">
        <w:rPr>
          <w:rFonts w:ascii="Calibri" w:eastAsia="Yu Mincho" w:hAnsi="Calibri" w:cs="Arial"/>
          <w:b/>
          <w:bCs/>
          <w:sz w:val="20"/>
          <w:szCs w:val="20"/>
          <w:lang w:val="en-US"/>
        </w:rPr>
        <w:t xml:space="preserve"> November</w:t>
      </w:r>
      <w:r w:rsidR="0059590D">
        <w:rPr>
          <w:rFonts w:ascii="Calibri" w:eastAsia="Yu Mincho" w:hAnsi="Calibri" w:cs="Arial"/>
          <w:sz w:val="20"/>
          <w:szCs w:val="20"/>
          <w:lang w:val="en-US"/>
        </w:rPr>
        <w:t xml:space="preserve"> </w:t>
      </w:r>
      <w:r w:rsidR="009943A3">
        <w:rPr>
          <w:rFonts w:ascii="Calibri" w:eastAsia="Yu Mincho" w:hAnsi="Calibri" w:cs="Arial"/>
          <w:b/>
          <w:bCs/>
          <w:sz w:val="20"/>
          <w:szCs w:val="20"/>
          <w:lang w:val="en-US"/>
        </w:rPr>
        <w:t>2020</w:t>
      </w:r>
      <w:r w:rsidR="00CA36D8">
        <w:rPr>
          <w:rFonts w:ascii="Calibri" w:eastAsia="Yu Mincho" w:hAnsi="Calibri" w:cs="Arial"/>
          <w:sz w:val="20"/>
          <w:szCs w:val="20"/>
        </w:rPr>
        <w:t>, and</w:t>
      </w:r>
      <w:r w:rsidRPr="003B2F34">
        <w:rPr>
          <w:rFonts w:ascii="Calibri" w:eastAsia="Yu Mincho" w:hAnsi="Calibri" w:cs="Arial"/>
          <w:sz w:val="20"/>
          <w:szCs w:val="20"/>
        </w:rPr>
        <w:t xml:space="preserve"> THET </w:t>
      </w:r>
      <w:r w:rsidR="00CA36D8">
        <w:rPr>
          <w:rFonts w:ascii="Calibri" w:eastAsia="Yu Mincho" w:hAnsi="Calibri" w:cs="Arial"/>
          <w:sz w:val="20"/>
          <w:szCs w:val="20"/>
        </w:rPr>
        <w:t xml:space="preserve">and an external selection panel </w:t>
      </w:r>
      <w:r w:rsidRPr="003B2F34">
        <w:rPr>
          <w:rFonts w:ascii="Calibri" w:eastAsia="Yu Mincho" w:hAnsi="Calibri" w:cs="Arial"/>
          <w:sz w:val="20"/>
          <w:szCs w:val="20"/>
        </w:rPr>
        <w:t xml:space="preserve">will </w:t>
      </w:r>
      <w:r w:rsidR="00CA36D8">
        <w:rPr>
          <w:rFonts w:ascii="Calibri" w:eastAsia="Yu Mincho" w:hAnsi="Calibri" w:cs="Arial"/>
          <w:sz w:val="20"/>
          <w:szCs w:val="20"/>
        </w:rPr>
        <w:t xml:space="preserve">then </w:t>
      </w:r>
      <w:r w:rsidRPr="003B2F34">
        <w:rPr>
          <w:rFonts w:ascii="Calibri" w:eastAsia="Yu Mincho" w:hAnsi="Calibri" w:cs="Arial"/>
          <w:sz w:val="20"/>
          <w:szCs w:val="20"/>
        </w:rPr>
        <w:t>review applications.</w:t>
      </w:r>
    </w:p>
    <w:p w14:paraId="259E732A" w14:textId="084FD469" w:rsidR="003B2F34" w:rsidRPr="003B2F34" w:rsidRDefault="003B2F34" w:rsidP="003B2F34">
      <w:pPr>
        <w:spacing w:before="100" w:after="200" w:line="240" w:lineRule="auto"/>
        <w:rPr>
          <w:rFonts w:ascii="Calibri" w:eastAsia="Yu Mincho" w:hAnsi="Calibri" w:cs="Arial"/>
          <w:sz w:val="20"/>
          <w:szCs w:val="20"/>
        </w:rPr>
      </w:pPr>
      <w:r w:rsidRPr="003B2F34">
        <w:rPr>
          <w:rFonts w:ascii="Calibri" w:eastAsia="Yu Mincho" w:hAnsi="Calibri" w:cs="Arial"/>
          <w:sz w:val="20"/>
          <w:szCs w:val="20"/>
        </w:rPr>
        <w:t>Successful applicants will be informed of the outcome by email and THET may request further information before a final decision is made. Unsuccessful applicants will be informed of the outcome by email but will not be provided with feedback due to the light tou</w:t>
      </w:r>
      <w:r w:rsidR="00407242">
        <w:rPr>
          <w:rFonts w:ascii="Calibri" w:eastAsia="Yu Mincho" w:hAnsi="Calibri" w:cs="Arial"/>
          <w:sz w:val="20"/>
          <w:szCs w:val="20"/>
        </w:rPr>
        <w:t>c</w:t>
      </w:r>
      <w:r w:rsidRPr="003B2F34">
        <w:rPr>
          <w:rFonts w:ascii="Calibri" w:eastAsia="Yu Mincho" w:hAnsi="Calibri" w:cs="Arial"/>
          <w:sz w:val="20"/>
          <w:szCs w:val="20"/>
        </w:rPr>
        <w:t xml:space="preserve">h nature of the Call. </w:t>
      </w:r>
    </w:p>
    <w:p w14:paraId="4AB4CAFA" w14:textId="33CF864B" w:rsidR="003B2F34" w:rsidRPr="003B2F34" w:rsidRDefault="003B2F34" w:rsidP="003B2F34">
      <w:pPr>
        <w:spacing w:before="100" w:after="200" w:line="240" w:lineRule="auto"/>
        <w:jc w:val="both"/>
        <w:rPr>
          <w:rFonts w:ascii="Calibri" w:eastAsia="Yu Mincho" w:hAnsi="Calibri" w:cs="Arial"/>
          <w:bCs/>
          <w:sz w:val="20"/>
          <w:szCs w:val="20"/>
        </w:rPr>
      </w:pPr>
      <w:r w:rsidRPr="003B2F34">
        <w:rPr>
          <w:rFonts w:ascii="Calibri" w:eastAsia="Yu Mincho" w:hAnsi="Calibri" w:cs="Arial"/>
          <w:bCs/>
          <w:sz w:val="20"/>
          <w:szCs w:val="20"/>
        </w:rPr>
        <w:t>Applicants are required to submit an application form and budget using the provided templates</w:t>
      </w:r>
      <w:r w:rsidR="00FB5313">
        <w:rPr>
          <w:rFonts w:ascii="Calibri" w:eastAsia="Yu Mincho" w:hAnsi="Calibri" w:cs="Arial"/>
          <w:bCs/>
          <w:sz w:val="20"/>
          <w:szCs w:val="20"/>
        </w:rPr>
        <w:t xml:space="preserve"> to </w:t>
      </w:r>
      <w:hyperlink r:id="rId15" w:history="1">
        <w:r w:rsidR="00FB5313" w:rsidRPr="00614302">
          <w:rPr>
            <w:rStyle w:val="Hyperlink"/>
            <w:rFonts w:ascii="Calibri" w:eastAsia="Yu Mincho" w:hAnsi="Calibri" w:cs="Arial"/>
            <w:bCs/>
            <w:sz w:val="20"/>
            <w:szCs w:val="20"/>
          </w:rPr>
          <w:t>grants@thet.org</w:t>
        </w:r>
      </w:hyperlink>
      <w:r w:rsidRPr="003B2F34">
        <w:rPr>
          <w:rFonts w:ascii="Calibri" w:eastAsia="Yu Mincho" w:hAnsi="Calibri" w:cs="Arial"/>
          <w:bCs/>
          <w:sz w:val="20"/>
          <w:szCs w:val="20"/>
        </w:rPr>
        <w:t xml:space="preserve">, and the proposed contract holder must provide evidence of a finance policy, MoU, and a </w:t>
      </w:r>
      <w:r w:rsidR="00670B0D">
        <w:rPr>
          <w:rFonts w:ascii="Calibri" w:eastAsia="Yu Mincho" w:hAnsi="Calibri" w:cs="Arial"/>
          <w:bCs/>
          <w:sz w:val="20"/>
          <w:szCs w:val="20"/>
        </w:rPr>
        <w:t xml:space="preserve">fraud, </w:t>
      </w:r>
      <w:r w:rsidRPr="003B2F34">
        <w:rPr>
          <w:rFonts w:ascii="Calibri" w:eastAsia="Yu Mincho" w:hAnsi="Calibri" w:cs="Arial"/>
          <w:bCs/>
          <w:sz w:val="20"/>
          <w:szCs w:val="20"/>
        </w:rPr>
        <w:t xml:space="preserve">corruption and bribery policy. </w:t>
      </w:r>
    </w:p>
    <w:p w14:paraId="14DBC5EB" w14:textId="69F1617A" w:rsidR="003B2F34" w:rsidRPr="003B2F34" w:rsidRDefault="003B2F34" w:rsidP="003B2F34">
      <w:pPr>
        <w:spacing w:before="100" w:after="200" w:line="240" w:lineRule="auto"/>
        <w:jc w:val="both"/>
        <w:rPr>
          <w:rFonts w:ascii="Calibri" w:eastAsia="Yu Mincho" w:hAnsi="Calibri" w:cs="Arial"/>
          <w:b/>
          <w:sz w:val="20"/>
          <w:szCs w:val="20"/>
        </w:rPr>
      </w:pPr>
      <w:r w:rsidRPr="003B2F34">
        <w:rPr>
          <w:rFonts w:ascii="Calibri" w:eastAsia="Yu Mincho" w:hAnsi="Calibri" w:cs="Arial"/>
          <w:b/>
          <w:sz w:val="20"/>
          <w:szCs w:val="20"/>
        </w:rPr>
        <w:t xml:space="preserve">Given current priorities in the UK and LMICs for health workers to prioritise responding to the </w:t>
      </w:r>
      <w:r w:rsidR="2912CDA3" w:rsidRPr="36572566">
        <w:rPr>
          <w:rFonts w:ascii="Calibri" w:eastAsia="Yu Mincho" w:hAnsi="Calibri" w:cs="Arial"/>
          <w:b/>
          <w:bCs/>
          <w:sz w:val="20"/>
          <w:szCs w:val="20"/>
        </w:rPr>
        <w:t>COVID</w:t>
      </w:r>
      <w:r w:rsidRPr="003B2F34">
        <w:rPr>
          <w:rFonts w:ascii="Calibri" w:eastAsia="Yu Mincho" w:hAnsi="Calibri" w:cs="Arial"/>
          <w:b/>
          <w:sz w:val="20"/>
          <w:szCs w:val="20"/>
        </w:rPr>
        <w:t xml:space="preserve">-19 pandemic, and the potential time needed to support this initiative, we encourage all those thinking of applying to consider their individual and institutional capacity. We also encourage </w:t>
      </w:r>
      <w:r w:rsidR="00DB653F">
        <w:rPr>
          <w:rFonts w:ascii="Calibri" w:eastAsia="Yu Mincho" w:hAnsi="Calibri" w:cs="Arial"/>
          <w:b/>
          <w:sz w:val="20"/>
          <w:szCs w:val="20"/>
        </w:rPr>
        <w:t>HPs</w:t>
      </w:r>
      <w:r w:rsidRPr="003B2F34">
        <w:rPr>
          <w:rFonts w:ascii="Calibri" w:eastAsia="Yu Mincho" w:hAnsi="Calibri" w:cs="Arial"/>
          <w:b/>
          <w:sz w:val="20"/>
          <w:szCs w:val="20"/>
        </w:rPr>
        <w:t xml:space="preserve"> to engage members of their team not currently working full-time in the NHS to support the application process intervention</w:t>
      </w:r>
      <w:r w:rsidR="00EA1F81">
        <w:rPr>
          <w:rFonts w:ascii="Calibri" w:eastAsia="Yu Mincho" w:hAnsi="Calibri" w:cs="Arial"/>
          <w:b/>
          <w:sz w:val="20"/>
          <w:szCs w:val="20"/>
        </w:rPr>
        <w:t xml:space="preserve"> delivery</w:t>
      </w:r>
      <w:r w:rsidRPr="003B2F34">
        <w:rPr>
          <w:rFonts w:ascii="Calibri" w:eastAsia="Yu Mincho" w:hAnsi="Calibri" w:cs="Arial"/>
          <w:b/>
          <w:sz w:val="20"/>
          <w:szCs w:val="20"/>
        </w:rPr>
        <w:t xml:space="preserve">. </w:t>
      </w:r>
    </w:p>
    <w:p w14:paraId="342D5744" w14:textId="77777777" w:rsidR="0067381D" w:rsidRPr="00140663" w:rsidRDefault="0067381D" w:rsidP="0067381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outlineLvl w:val="1"/>
        <w:rPr>
          <w:caps/>
          <w:spacing w:val="15"/>
        </w:rPr>
      </w:pPr>
      <w:r>
        <w:rPr>
          <w:caps/>
          <w:spacing w:val="15"/>
        </w:rPr>
        <w:t>Grant holder requirements</w:t>
      </w:r>
    </w:p>
    <w:p w14:paraId="4A79A757" w14:textId="77777777" w:rsidR="0067381D" w:rsidRPr="00203272" w:rsidRDefault="0067381D" w:rsidP="00203272">
      <w:pPr>
        <w:spacing w:before="240" w:line="240" w:lineRule="auto"/>
        <w:jc w:val="both"/>
        <w:rPr>
          <w:bCs/>
          <w:sz w:val="20"/>
          <w:szCs w:val="20"/>
        </w:rPr>
      </w:pPr>
      <w:r w:rsidRPr="00203272">
        <w:rPr>
          <w:bCs/>
          <w:sz w:val="20"/>
          <w:szCs w:val="20"/>
        </w:rPr>
        <w:t xml:space="preserve">Each grant recipient will be assigned a member of the THET Grants Team to act as a point of contact for the purpose of answering queries and providing guidance where needed. </w:t>
      </w:r>
    </w:p>
    <w:p w14:paraId="38159411" w14:textId="25C991EC" w:rsidR="0067381D" w:rsidRPr="00203272" w:rsidRDefault="00716BBE" w:rsidP="2D5490B5">
      <w:pPr>
        <w:spacing w:line="240" w:lineRule="auto"/>
        <w:jc w:val="both"/>
        <w:rPr>
          <w:sz w:val="20"/>
          <w:szCs w:val="20"/>
        </w:rPr>
      </w:pPr>
      <w:r w:rsidRPr="2D5490B5">
        <w:rPr>
          <w:sz w:val="20"/>
          <w:szCs w:val="20"/>
        </w:rPr>
        <w:t>Grant</w:t>
      </w:r>
      <w:r w:rsidR="0067381D" w:rsidRPr="2D5490B5">
        <w:rPr>
          <w:sz w:val="20"/>
          <w:szCs w:val="20"/>
        </w:rPr>
        <w:t xml:space="preserve"> recipients will not be expected to report regularly to THET during the pandemic but will be asked to inform us should there be significant issues with utilising the funds for their proposed purpose. For the purpose of demonstrating impact and sustaining resources, we will also require a brief </w:t>
      </w:r>
      <w:r w:rsidR="4167A52A" w:rsidRPr="2D5490B5">
        <w:rPr>
          <w:sz w:val="20"/>
          <w:szCs w:val="20"/>
        </w:rPr>
        <w:t>project overview</w:t>
      </w:r>
      <w:r w:rsidR="0067381D" w:rsidRPr="2D5490B5">
        <w:rPr>
          <w:sz w:val="20"/>
          <w:szCs w:val="20"/>
        </w:rPr>
        <w:t>, by email, within two weeks of receiving funds including an accompanying image that can be used for communications purposes</w:t>
      </w:r>
      <w:r w:rsidR="735A530A" w:rsidRPr="2D5490B5">
        <w:rPr>
          <w:sz w:val="20"/>
          <w:szCs w:val="20"/>
        </w:rPr>
        <w:t>, and a subsequent narrative piece on impact within three months of project start date.</w:t>
      </w:r>
    </w:p>
    <w:p w14:paraId="1DE9CCFA" w14:textId="51B42A36" w:rsidR="00C46E02" w:rsidRPr="00203272" w:rsidRDefault="0067381D" w:rsidP="0067381D">
      <w:pPr>
        <w:spacing w:line="240" w:lineRule="auto"/>
        <w:jc w:val="both"/>
        <w:rPr>
          <w:bCs/>
          <w:sz w:val="20"/>
          <w:szCs w:val="20"/>
        </w:rPr>
      </w:pPr>
      <w:r w:rsidRPr="00203272">
        <w:rPr>
          <w:bCs/>
          <w:sz w:val="20"/>
          <w:szCs w:val="20"/>
        </w:rPr>
        <w:t>A transaction list - with clear details of what was purchased and at what cost - and a short narrative report</w:t>
      </w:r>
      <w:r w:rsidR="00F366B7">
        <w:rPr>
          <w:bCs/>
          <w:sz w:val="20"/>
          <w:szCs w:val="20"/>
        </w:rPr>
        <w:t xml:space="preserve"> 2 weeks after the end of the project</w:t>
      </w:r>
      <w:r w:rsidRPr="00203272">
        <w:rPr>
          <w:bCs/>
          <w:sz w:val="20"/>
          <w:szCs w:val="20"/>
        </w:rPr>
        <w:t xml:space="preserve"> will then be required. Given the varying capacities and difference in circumstances across contexts, however, THET will adopt a flexible approach and accommodate the needs of each grantee.</w:t>
      </w:r>
    </w:p>
    <w:p w14:paraId="189A942F" w14:textId="77777777" w:rsidR="0067381D" w:rsidRPr="00203272" w:rsidRDefault="0067381D" w:rsidP="0067381D">
      <w:pPr>
        <w:pStyle w:val="Heading3"/>
        <w:spacing w:line="240" w:lineRule="auto"/>
        <w:rPr>
          <w:lang w:val="en-GB"/>
        </w:rPr>
      </w:pPr>
      <w:r w:rsidRPr="00203272">
        <w:rPr>
          <w:lang w:val="en-GB"/>
        </w:rPr>
        <w:t>Further support</w:t>
      </w:r>
    </w:p>
    <w:p w14:paraId="6D078D84" w14:textId="73FA7966" w:rsidR="00575813" w:rsidRPr="0076327A" w:rsidRDefault="0067381D" w:rsidP="0076327A">
      <w:pPr>
        <w:spacing w:before="240" w:line="240" w:lineRule="auto"/>
        <w:jc w:val="both"/>
        <w:rPr>
          <w:sz w:val="20"/>
          <w:szCs w:val="20"/>
        </w:rPr>
      </w:pPr>
      <w:r w:rsidRPr="00203272">
        <w:rPr>
          <w:bCs/>
          <w:sz w:val="20"/>
          <w:szCs w:val="20"/>
        </w:rPr>
        <w:t xml:space="preserve">For all enquiries, please email the THET Grants Team at </w:t>
      </w:r>
      <w:hyperlink r:id="rId16" w:history="1">
        <w:r w:rsidR="009E5FF2" w:rsidRPr="00B57A0E">
          <w:rPr>
            <w:rStyle w:val="Hyperlink"/>
            <w:bCs/>
            <w:sz w:val="20"/>
            <w:szCs w:val="20"/>
          </w:rPr>
          <w:t>Grants@thet.org</w:t>
        </w:r>
      </w:hyperlink>
      <w:r w:rsidRPr="00203272">
        <w:rPr>
          <w:bCs/>
          <w:sz w:val="20"/>
          <w:szCs w:val="20"/>
        </w:rPr>
        <w:t>. Please do not attempt to call our office as there will be nobody to take your call.</w:t>
      </w:r>
    </w:p>
    <w:sectPr w:rsidR="00575813" w:rsidRPr="0076327A" w:rsidSect="008D2EFA">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284A" w14:textId="77777777" w:rsidR="00EC059E" w:rsidRDefault="00EC059E" w:rsidP="00B652EC">
      <w:pPr>
        <w:spacing w:after="0" w:line="240" w:lineRule="auto"/>
      </w:pPr>
      <w:r>
        <w:separator/>
      </w:r>
    </w:p>
  </w:endnote>
  <w:endnote w:type="continuationSeparator" w:id="0">
    <w:p w14:paraId="4562D012" w14:textId="77777777" w:rsidR="00EC059E" w:rsidRDefault="00EC059E" w:rsidP="00B652EC">
      <w:pPr>
        <w:spacing w:after="0" w:line="240" w:lineRule="auto"/>
      </w:pPr>
      <w:r>
        <w:continuationSeparator/>
      </w:r>
    </w:p>
  </w:endnote>
  <w:endnote w:type="continuationNotice" w:id="1">
    <w:p w14:paraId="5F7D2694" w14:textId="77777777" w:rsidR="00EC059E" w:rsidRDefault="00EC0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6C182" w14:textId="77777777" w:rsidR="00EC059E" w:rsidRDefault="00EC059E" w:rsidP="00B652EC">
      <w:pPr>
        <w:spacing w:after="0" w:line="240" w:lineRule="auto"/>
      </w:pPr>
      <w:r>
        <w:separator/>
      </w:r>
    </w:p>
  </w:footnote>
  <w:footnote w:type="continuationSeparator" w:id="0">
    <w:p w14:paraId="4F6B846E" w14:textId="77777777" w:rsidR="00EC059E" w:rsidRDefault="00EC059E" w:rsidP="00B652EC">
      <w:pPr>
        <w:spacing w:after="0" w:line="240" w:lineRule="auto"/>
      </w:pPr>
      <w:r>
        <w:continuationSeparator/>
      </w:r>
    </w:p>
  </w:footnote>
  <w:footnote w:type="continuationNotice" w:id="1">
    <w:p w14:paraId="05C08120" w14:textId="77777777" w:rsidR="00EC059E" w:rsidRDefault="00EC059E">
      <w:pPr>
        <w:spacing w:after="0" w:line="240" w:lineRule="auto"/>
      </w:pPr>
    </w:p>
  </w:footnote>
  <w:footnote w:id="2">
    <w:p w14:paraId="2A2606D0" w14:textId="5A9E538A" w:rsidR="00943174" w:rsidRPr="00B92903" w:rsidRDefault="00943174">
      <w:pPr>
        <w:pStyle w:val="FootnoteText"/>
        <w:rPr>
          <w:sz w:val="16"/>
          <w:szCs w:val="16"/>
        </w:rPr>
      </w:pPr>
      <w:r w:rsidRPr="00B92903">
        <w:rPr>
          <w:rStyle w:val="FootnoteReference"/>
          <w:sz w:val="16"/>
          <w:szCs w:val="16"/>
        </w:rPr>
        <w:footnoteRef/>
      </w:r>
      <w:r w:rsidRPr="00B92903">
        <w:rPr>
          <w:sz w:val="16"/>
          <w:szCs w:val="16"/>
        </w:rPr>
        <w:t xml:space="preserve"> </w:t>
      </w:r>
      <w:r w:rsidRPr="00553353">
        <w:rPr>
          <w:sz w:val="16"/>
          <w:szCs w:val="16"/>
        </w:rPr>
        <w:t>Please refer to Annex 1 for further information on</w:t>
      </w:r>
      <w:r w:rsidR="004C141F" w:rsidRPr="00553353">
        <w:rPr>
          <w:sz w:val="16"/>
          <w:szCs w:val="16"/>
        </w:rPr>
        <w:t xml:space="preserve"> approaches which can be taken</w:t>
      </w:r>
    </w:p>
  </w:footnote>
  <w:footnote w:id="3">
    <w:p w14:paraId="156D2FCD" w14:textId="77777777" w:rsidR="00905456" w:rsidRPr="00212B54" w:rsidRDefault="00905456" w:rsidP="00905456">
      <w:pPr>
        <w:pStyle w:val="FootnoteText"/>
        <w:rPr>
          <w:sz w:val="16"/>
          <w:szCs w:val="16"/>
        </w:rPr>
      </w:pPr>
      <w:r w:rsidRPr="00212B54">
        <w:rPr>
          <w:rStyle w:val="FootnoteReference"/>
          <w:sz w:val="16"/>
          <w:szCs w:val="16"/>
        </w:rPr>
        <w:footnoteRef/>
      </w:r>
      <w:r w:rsidRPr="00212B54">
        <w:rPr>
          <w:sz w:val="16"/>
          <w:szCs w:val="16"/>
        </w:rPr>
        <w:t xml:space="preserve"> Eligible countries: </w:t>
      </w:r>
    </w:p>
    <w:p w14:paraId="18CF7BE1" w14:textId="603E22C4" w:rsidR="00905456" w:rsidRPr="00212B54" w:rsidRDefault="00905456" w:rsidP="00905456">
      <w:pPr>
        <w:pStyle w:val="FootnoteText"/>
        <w:rPr>
          <w:sz w:val="16"/>
          <w:szCs w:val="16"/>
        </w:rPr>
      </w:pPr>
      <w:r w:rsidRPr="007D0905">
        <w:rPr>
          <w:b/>
          <w:bCs/>
          <w:sz w:val="16"/>
          <w:szCs w:val="16"/>
        </w:rPr>
        <w:t>Sub-Saharan Africa:</w:t>
      </w:r>
      <w:r w:rsidRPr="00212B54">
        <w:rPr>
          <w:sz w:val="16"/>
          <w:szCs w:val="16"/>
        </w:rPr>
        <w:t xml:space="preserve"> Angola, Benin, Burkina Faso, Burundi, Cabo Verde, Cameroon, Central African Republic, Chad, Comoros, Congo, Rep., Congo, Dem. Rep, Côte d'Ivoire, Djibouti, Eritrea, Eswatini, Ethiopia, Ghana, Guinea, Guinea-Bissau, Kenya, Lesotho, Liberia, Madagascar, Malawi, Mali, Mozambique, Mauritania, Niger, Nigeria, Rwanda, São Tomé and Principe, Senegal, Sierra Leone, Somalia,</w:t>
      </w:r>
      <w:r w:rsidR="005F48F2">
        <w:rPr>
          <w:sz w:val="16"/>
          <w:szCs w:val="16"/>
        </w:rPr>
        <w:t xml:space="preserve"> Somaliland,</w:t>
      </w:r>
      <w:r w:rsidRPr="00212B54">
        <w:rPr>
          <w:sz w:val="16"/>
          <w:szCs w:val="16"/>
        </w:rPr>
        <w:t xml:space="preserve"> South Sudan, Sudan, Tanzania, The Gambia, Togo, Zambia, Zimbabwe, Uganda</w:t>
      </w:r>
    </w:p>
    <w:p w14:paraId="6AD02740" w14:textId="6CA05DF4" w:rsidR="00905456" w:rsidRDefault="00905456" w:rsidP="00905456">
      <w:pPr>
        <w:pStyle w:val="FootnoteText"/>
      </w:pPr>
      <w:r w:rsidRPr="007D0905">
        <w:rPr>
          <w:b/>
          <w:bCs/>
          <w:sz w:val="16"/>
          <w:szCs w:val="16"/>
        </w:rPr>
        <w:t>South East Asia:</w:t>
      </w:r>
      <w:r w:rsidRPr="00212B54">
        <w:rPr>
          <w:sz w:val="16"/>
          <w:szCs w:val="16"/>
        </w:rPr>
        <w:t xml:space="preserve"> Afghanistan, Bangladesh, Bhutan, Cambodia, Lao PDR, Mongolia, Myanmar, Nepal, Pakistan, Philippines,</w:t>
      </w:r>
      <w:r w:rsidR="00586B40">
        <w:rPr>
          <w:sz w:val="16"/>
          <w:szCs w:val="16"/>
        </w:rPr>
        <w:t xml:space="preserve"> Sri Lanka,</w:t>
      </w:r>
      <w:r w:rsidRPr="00212B54">
        <w:rPr>
          <w:sz w:val="16"/>
          <w:szCs w:val="16"/>
        </w:rPr>
        <w:t xml:space="preserve"> Timor-Leste, Vietnam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B491A"/>
    <w:multiLevelType w:val="hybridMultilevel"/>
    <w:tmpl w:val="A9FA7E74"/>
    <w:lvl w:ilvl="0" w:tplc="DB96875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D01275"/>
    <w:multiLevelType w:val="hybridMultilevel"/>
    <w:tmpl w:val="AC7C92FC"/>
    <w:lvl w:ilvl="0" w:tplc="DB968752">
      <w:numFmt w:val="bullet"/>
      <w:lvlText w:val="-"/>
      <w:lvlJc w:val="left"/>
      <w:pPr>
        <w:ind w:left="1080" w:hanging="720"/>
      </w:pPr>
      <w:rPr>
        <w:rFonts w:ascii="Calibri" w:eastAsiaTheme="minorEastAsia"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E02C8A"/>
    <w:multiLevelType w:val="hybridMultilevel"/>
    <w:tmpl w:val="AA400674"/>
    <w:lvl w:ilvl="0" w:tplc="266E9BBE">
      <w:start w:val="7"/>
      <w:numFmt w:val="bullet"/>
      <w:lvlText w:val="-"/>
      <w:lvlJc w:val="left"/>
      <w:pPr>
        <w:tabs>
          <w:tab w:val="num" w:pos="717"/>
        </w:tabs>
        <w:ind w:left="720" w:hanging="360"/>
      </w:pPr>
      <w:rPr>
        <w:rFonts w:ascii="Calibri" w:eastAsia="Calibri" w:hAnsi="Calibri" w:cs="Calibri" w:hint="default"/>
        <w:color w:val="auto"/>
        <w:sz w:val="22"/>
      </w:rPr>
    </w:lvl>
    <w:lvl w:ilvl="1" w:tplc="761436E4">
      <w:start w:val="1"/>
      <w:numFmt w:val="bullet"/>
      <w:lvlText w:val=""/>
      <w:lvlJc w:val="left"/>
      <w:pPr>
        <w:tabs>
          <w:tab w:val="num" w:pos="1080"/>
        </w:tabs>
        <w:ind w:left="1080" w:hanging="360"/>
      </w:pPr>
      <w:rPr>
        <w:rFonts w:ascii="Symbol" w:hAnsi="Symbol" w:hint="default"/>
        <w:color w:val="auto"/>
      </w:rPr>
    </w:lvl>
    <w:lvl w:ilvl="2" w:tplc="129E992A">
      <w:start w:val="1"/>
      <w:numFmt w:val="bullet"/>
      <w:lvlText w:val=""/>
      <w:lvlJc w:val="left"/>
      <w:pPr>
        <w:tabs>
          <w:tab w:val="num" w:pos="1437"/>
        </w:tabs>
        <w:ind w:left="1440" w:hanging="360"/>
      </w:pPr>
      <w:rPr>
        <w:rFonts w:ascii="Symbol" w:hAnsi="Symbol" w:hint="default"/>
        <w:color w:val="auto"/>
      </w:rPr>
    </w:lvl>
    <w:lvl w:ilvl="3" w:tplc="760C3692">
      <w:start w:val="1"/>
      <w:numFmt w:val="bullet"/>
      <w:lvlText w:val=""/>
      <w:lvlJc w:val="left"/>
      <w:pPr>
        <w:tabs>
          <w:tab w:val="num" w:pos="1800"/>
        </w:tabs>
        <w:ind w:left="1800" w:hanging="360"/>
      </w:pPr>
      <w:rPr>
        <w:rFonts w:ascii="Symbol" w:hAnsi="Symbol" w:hint="default"/>
        <w:color w:val="auto"/>
      </w:rPr>
    </w:lvl>
    <w:lvl w:ilvl="4" w:tplc="E01AFFF4">
      <w:start w:val="1"/>
      <w:numFmt w:val="lowerLetter"/>
      <w:lvlText w:val="(%5)"/>
      <w:lvlJc w:val="left"/>
      <w:pPr>
        <w:ind w:left="2160" w:hanging="360"/>
      </w:pPr>
      <w:rPr>
        <w:rFonts w:hint="default"/>
      </w:rPr>
    </w:lvl>
    <w:lvl w:ilvl="5" w:tplc="B74C83EE">
      <w:start w:val="1"/>
      <w:numFmt w:val="lowerRoman"/>
      <w:lvlText w:val="(%6)"/>
      <w:lvlJc w:val="left"/>
      <w:pPr>
        <w:ind w:left="2520" w:hanging="360"/>
      </w:pPr>
      <w:rPr>
        <w:rFonts w:hint="default"/>
      </w:rPr>
    </w:lvl>
    <w:lvl w:ilvl="6" w:tplc="E3642960">
      <w:start w:val="1"/>
      <w:numFmt w:val="decimal"/>
      <w:lvlText w:val="%7."/>
      <w:lvlJc w:val="left"/>
      <w:pPr>
        <w:ind w:left="2880" w:hanging="360"/>
      </w:pPr>
      <w:rPr>
        <w:rFonts w:hint="default"/>
      </w:rPr>
    </w:lvl>
    <w:lvl w:ilvl="7" w:tplc="C4BA8E6C">
      <w:start w:val="1"/>
      <w:numFmt w:val="lowerLetter"/>
      <w:lvlText w:val="%8."/>
      <w:lvlJc w:val="left"/>
      <w:pPr>
        <w:ind w:left="3240" w:hanging="360"/>
      </w:pPr>
      <w:rPr>
        <w:rFonts w:hint="default"/>
      </w:rPr>
    </w:lvl>
    <w:lvl w:ilvl="8" w:tplc="6AC6AE9C">
      <w:start w:val="1"/>
      <w:numFmt w:val="lowerRoman"/>
      <w:lvlText w:val="%9."/>
      <w:lvlJc w:val="left"/>
      <w:pPr>
        <w:ind w:left="3600" w:hanging="360"/>
      </w:pPr>
      <w:rPr>
        <w:rFonts w:hint="default"/>
      </w:rPr>
    </w:lvl>
  </w:abstractNum>
  <w:abstractNum w:abstractNumId="3" w15:restartNumberingAfterBreak="0">
    <w:nsid w:val="427661C6"/>
    <w:multiLevelType w:val="multilevel"/>
    <w:tmpl w:val="F61E9228"/>
    <w:lvl w:ilvl="0">
      <w:start w:val="7"/>
      <w:numFmt w:val="bullet"/>
      <w:lvlText w:val="-"/>
      <w:lvlJc w:val="left"/>
      <w:pPr>
        <w:tabs>
          <w:tab w:val="num" w:pos="717"/>
        </w:tabs>
        <w:ind w:left="720" w:hanging="360"/>
      </w:pPr>
      <w:rPr>
        <w:rFonts w:ascii="Calibri" w:eastAsia="Calibri" w:hAnsi="Calibri" w:cs="Calibri" w:hint="default"/>
        <w:color w:val="auto"/>
        <w:sz w:val="22"/>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37"/>
        </w:tabs>
        <w:ind w:left="1440" w:hanging="360"/>
      </w:pPr>
      <w:rPr>
        <w:rFonts w:ascii="Symbol" w:hAnsi="Symbol" w:hint="default"/>
        <w:color w:val="auto"/>
      </w:rPr>
    </w:lvl>
    <w:lvl w:ilvl="3">
      <w:start w:val="1"/>
      <w:numFmt w:val="bullet"/>
      <w:lvlText w:val=""/>
      <w:lvlJc w:val="left"/>
      <w:pPr>
        <w:tabs>
          <w:tab w:val="num" w:pos="1800"/>
        </w:tabs>
        <w:ind w:left="180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813282"/>
    <w:multiLevelType w:val="hybridMultilevel"/>
    <w:tmpl w:val="A2A2C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6847AB"/>
    <w:multiLevelType w:val="hybridMultilevel"/>
    <w:tmpl w:val="4ED4ADBC"/>
    <w:lvl w:ilvl="0" w:tplc="51326784">
      <w:start w:val="1"/>
      <w:numFmt w:val="decimal"/>
      <w:lvlText w:val="%1."/>
      <w:lvlJc w:val="left"/>
      <w:pPr>
        <w:tabs>
          <w:tab w:val="num" w:pos="720"/>
        </w:tabs>
        <w:ind w:left="720" w:hanging="360"/>
      </w:pPr>
    </w:lvl>
    <w:lvl w:ilvl="1" w:tplc="B5D06E52" w:tentative="1">
      <w:start w:val="1"/>
      <w:numFmt w:val="decimal"/>
      <w:lvlText w:val="%2."/>
      <w:lvlJc w:val="left"/>
      <w:pPr>
        <w:tabs>
          <w:tab w:val="num" w:pos="1440"/>
        </w:tabs>
        <w:ind w:left="1440" w:hanging="360"/>
      </w:pPr>
    </w:lvl>
    <w:lvl w:ilvl="2" w:tplc="B98A9052" w:tentative="1">
      <w:start w:val="1"/>
      <w:numFmt w:val="decimal"/>
      <w:lvlText w:val="%3."/>
      <w:lvlJc w:val="left"/>
      <w:pPr>
        <w:tabs>
          <w:tab w:val="num" w:pos="2160"/>
        </w:tabs>
        <w:ind w:left="2160" w:hanging="360"/>
      </w:pPr>
    </w:lvl>
    <w:lvl w:ilvl="3" w:tplc="294CCBCE" w:tentative="1">
      <w:start w:val="1"/>
      <w:numFmt w:val="decimal"/>
      <w:lvlText w:val="%4."/>
      <w:lvlJc w:val="left"/>
      <w:pPr>
        <w:tabs>
          <w:tab w:val="num" w:pos="2880"/>
        </w:tabs>
        <w:ind w:left="2880" w:hanging="360"/>
      </w:pPr>
    </w:lvl>
    <w:lvl w:ilvl="4" w:tplc="1DD49D58" w:tentative="1">
      <w:start w:val="1"/>
      <w:numFmt w:val="decimal"/>
      <w:lvlText w:val="%5."/>
      <w:lvlJc w:val="left"/>
      <w:pPr>
        <w:tabs>
          <w:tab w:val="num" w:pos="3600"/>
        </w:tabs>
        <w:ind w:left="3600" w:hanging="360"/>
      </w:pPr>
    </w:lvl>
    <w:lvl w:ilvl="5" w:tplc="A546104A" w:tentative="1">
      <w:start w:val="1"/>
      <w:numFmt w:val="decimal"/>
      <w:lvlText w:val="%6."/>
      <w:lvlJc w:val="left"/>
      <w:pPr>
        <w:tabs>
          <w:tab w:val="num" w:pos="4320"/>
        </w:tabs>
        <w:ind w:left="4320" w:hanging="360"/>
      </w:pPr>
    </w:lvl>
    <w:lvl w:ilvl="6" w:tplc="254AF940" w:tentative="1">
      <w:start w:val="1"/>
      <w:numFmt w:val="decimal"/>
      <w:lvlText w:val="%7."/>
      <w:lvlJc w:val="left"/>
      <w:pPr>
        <w:tabs>
          <w:tab w:val="num" w:pos="5040"/>
        </w:tabs>
        <w:ind w:left="5040" w:hanging="360"/>
      </w:pPr>
    </w:lvl>
    <w:lvl w:ilvl="7" w:tplc="9C3ADB52" w:tentative="1">
      <w:start w:val="1"/>
      <w:numFmt w:val="decimal"/>
      <w:lvlText w:val="%8."/>
      <w:lvlJc w:val="left"/>
      <w:pPr>
        <w:tabs>
          <w:tab w:val="num" w:pos="5760"/>
        </w:tabs>
        <w:ind w:left="5760" w:hanging="360"/>
      </w:pPr>
    </w:lvl>
    <w:lvl w:ilvl="8" w:tplc="8316609C" w:tentative="1">
      <w:start w:val="1"/>
      <w:numFmt w:val="decimal"/>
      <w:lvlText w:val="%9."/>
      <w:lvlJc w:val="left"/>
      <w:pPr>
        <w:tabs>
          <w:tab w:val="num" w:pos="6480"/>
        </w:tabs>
        <w:ind w:left="6480" w:hanging="360"/>
      </w:pPr>
    </w:lvl>
  </w:abstractNum>
  <w:abstractNum w:abstractNumId="6" w15:restartNumberingAfterBreak="0">
    <w:nsid w:val="52570886"/>
    <w:multiLevelType w:val="hybridMultilevel"/>
    <w:tmpl w:val="4372DBD6"/>
    <w:lvl w:ilvl="0" w:tplc="DB9687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3071D1"/>
    <w:multiLevelType w:val="hybridMultilevel"/>
    <w:tmpl w:val="183ABB4A"/>
    <w:lvl w:ilvl="0" w:tplc="74CAEF1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3F02A3"/>
    <w:multiLevelType w:val="hybridMultilevel"/>
    <w:tmpl w:val="A39C2A62"/>
    <w:lvl w:ilvl="0" w:tplc="E6F26D1E">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A11522"/>
    <w:multiLevelType w:val="hybridMultilevel"/>
    <w:tmpl w:val="9020B58A"/>
    <w:styleLink w:val="ListBullets"/>
    <w:lvl w:ilvl="0" w:tplc="A19A3C0A">
      <w:start w:val="1"/>
      <w:numFmt w:val="bullet"/>
      <w:pStyle w:val="ListBullet"/>
      <w:lvlText w:val=""/>
      <w:lvlJc w:val="left"/>
      <w:pPr>
        <w:tabs>
          <w:tab w:val="num" w:pos="357"/>
        </w:tabs>
        <w:ind w:left="360" w:hanging="360"/>
      </w:pPr>
      <w:rPr>
        <w:rFonts w:ascii="Symbol" w:hAnsi="Symbol" w:hint="default"/>
        <w:color w:val="auto"/>
        <w:sz w:val="22"/>
      </w:rPr>
    </w:lvl>
    <w:lvl w:ilvl="1" w:tplc="B2782762">
      <w:start w:val="1"/>
      <w:numFmt w:val="bullet"/>
      <w:pStyle w:val="ListBullet2"/>
      <w:lvlText w:val=""/>
      <w:lvlJc w:val="left"/>
      <w:pPr>
        <w:tabs>
          <w:tab w:val="num" w:pos="720"/>
        </w:tabs>
        <w:ind w:left="720" w:hanging="360"/>
      </w:pPr>
      <w:rPr>
        <w:rFonts w:ascii="Symbol" w:hAnsi="Symbol" w:hint="default"/>
        <w:color w:val="auto"/>
      </w:rPr>
    </w:lvl>
    <w:lvl w:ilvl="2" w:tplc="5F72ED1C">
      <w:start w:val="1"/>
      <w:numFmt w:val="bullet"/>
      <w:pStyle w:val="ListBullet3"/>
      <w:lvlText w:val=""/>
      <w:lvlJc w:val="left"/>
      <w:pPr>
        <w:tabs>
          <w:tab w:val="num" w:pos="1077"/>
        </w:tabs>
        <w:ind w:left="1080" w:hanging="360"/>
      </w:pPr>
      <w:rPr>
        <w:rFonts w:ascii="Symbol" w:hAnsi="Symbol" w:hint="default"/>
        <w:color w:val="auto"/>
      </w:rPr>
    </w:lvl>
    <w:lvl w:ilvl="3" w:tplc="E09C5468">
      <w:start w:val="1"/>
      <w:numFmt w:val="bullet"/>
      <w:lvlText w:val=""/>
      <w:lvlJc w:val="left"/>
      <w:pPr>
        <w:tabs>
          <w:tab w:val="num" w:pos="1440"/>
        </w:tabs>
        <w:ind w:left="1440" w:hanging="360"/>
      </w:pPr>
      <w:rPr>
        <w:rFonts w:ascii="Symbol" w:hAnsi="Symbol" w:hint="default"/>
        <w:color w:val="auto"/>
      </w:rPr>
    </w:lvl>
    <w:lvl w:ilvl="4" w:tplc="7AE406B0">
      <w:start w:val="1"/>
      <w:numFmt w:val="lowerLetter"/>
      <w:lvlText w:val="(%5)"/>
      <w:lvlJc w:val="left"/>
      <w:pPr>
        <w:ind w:left="1800" w:hanging="360"/>
      </w:pPr>
      <w:rPr>
        <w:rFonts w:hint="default"/>
      </w:rPr>
    </w:lvl>
    <w:lvl w:ilvl="5" w:tplc="CD9459B6">
      <w:start w:val="1"/>
      <w:numFmt w:val="lowerRoman"/>
      <w:lvlText w:val="(%6)"/>
      <w:lvlJc w:val="left"/>
      <w:pPr>
        <w:ind w:left="2160" w:hanging="360"/>
      </w:pPr>
      <w:rPr>
        <w:rFonts w:hint="default"/>
      </w:rPr>
    </w:lvl>
    <w:lvl w:ilvl="6" w:tplc="26B096AA">
      <w:start w:val="1"/>
      <w:numFmt w:val="decimal"/>
      <w:lvlText w:val="%7."/>
      <w:lvlJc w:val="left"/>
      <w:pPr>
        <w:ind w:left="2520" w:hanging="360"/>
      </w:pPr>
      <w:rPr>
        <w:rFonts w:hint="default"/>
      </w:rPr>
    </w:lvl>
    <w:lvl w:ilvl="7" w:tplc="A7760716">
      <w:start w:val="1"/>
      <w:numFmt w:val="lowerLetter"/>
      <w:lvlText w:val="%8."/>
      <w:lvlJc w:val="left"/>
      <w:pPr>
        <w:ind w:left="2880" w:hanging="360"/>
      </w:pPr>
      <w:rPr>
        <w:rFonts w:hint="default"/>
      </w:rPr>
    </w:lvl>
    <w:lvl w:ilvl="8" w:tplc="122C6186">
      <w:start w:val="1"/>
      <w:numFmt w:val="lowerRoman"/>
      <w:lvlText w:val="%9."/>
      <w:lvlJc w:val="left"/>
      <w:pPr>
        <w:ind w:left="3240" w:hanging="360"/>
      </w:pPr>
      <w:rPr>
        <w:rFonts w:hint="default"/>
      </w:rPr>
    </w:lvl>
  </w:abstractNum>
  <w:num w:numId="1">
    <w:abstractNumId w:val="8"/>
  </w:num>
  <w:num w:numId="2">
    <w:abstractNumId w:val="6"/>
  </w:num>
  <w:num w:numId="3">
    <w:abstractNumId w:val="9"/>
  </w:num>
  <w:num w:numId="4">
    <w:abstractNumId w:val="2"/>
  </w:num>
  <w:num w:numId="5">
    <w:abstractNumId w:val="1"/>
  </w:num>
  <w:num w:numId="6">
    <w:abstractNumId w:val="3"/>
  </w:num>
  <w:num w:numId="7">
    <w:abstractNumId w:val="7"/>
  </w:num>
  <w:num w:numId="8">
    <w:abstractNumId w:val="5"/>
  </w:num>
  <w:num w:numId="9">
    <w:abstractNumId w:val="0"/>
  </w:num>
  <w:num w:numId="10">
    <w:abstractNumId w:val="4"/>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FA"/>
    <w:rsid w:val="00000F59"/>
    <w:rsid w:val="00003378"/>
    <w:rsid w:val="00005EC2"/>
    <w:rsid w:val="00011FBD"/>
    <w:rsid w:val="0001363C"/>
    <w:rsid w:val="00013B82"/>
    <w:rsid w:val="00014A91"/>
    <w:rsid w:val="00015691"/>
    <w:rsid w:val="00016BC2"/>
    <w:rsid w:val="00017208"/>
    <w:rsid w:val="00020ED6"/>
    <w:rsid w:val="00023489"/>
    <w:rsid w:val="0002516E"/>
    <w:rsid w:val="000321BC"/>
    <w:rsid w:val="00033EF8"/>
    <w:rsid w:val="00035255"/>
    <w:rsid w:val="00043DF8"/>
    <w:rsid w:val="00047A64"/>
    <w:rsid w:val="00050F41"/>
    <w:rsid w:val="0005335F"/>
    <w:rsid w:val="00056175"/>
    <w:rsid w:val="00057E7F"/>
    <w:rsid w:val="00066191"/>
    <w:rsid w:val="0006665F"/>
    <w:rsid w:val="00066F85"/>
    <w:rsid w:val="00067F72"/>
    <w:rsid w:val="0007177F"/>
    <w:rsid w:val="00072CA8"/>
    <w:rsid w:val="000733FF"/>
    <w:rsid w:val="000746C0"/>
    <w:rsid w:val="00075E5E"/>
    <w:rsid w:val="000815AC"/>
    <w:rsid w:val="00083971"/>
    <w:rsid w:val="00085D08"/>
    <w:rsid w:val="00087E7C"/>
    <w:rsid w:val="000907CE"/>
    <w:rsid w:val="000910C5"/>
    <w:rsid w:val="0009147A"/>
    <w:rsid w:val="0009192E"/>
    <w:rsid w:val="00092372"/>
    <w:rsid w:val="00094619"/>
    <w:rsid w:val="000A0F3F"/>
    <w:rsid w:val="000A3742"/>
    <w:rsid w:val="000A4981"/>
    <w:rsid w:val="000A7439"/>
    <w:rsid w:val="000A765B"/>
    <w:rsid w:val="000A78F1"/>
    <w:rsid w:val="000B1A3A"/>
    <w:rsid w:val="000B3781"/>
    <w:rsid w:val="000B505A"/>
    <w:rsid w:val="000B60D9"/>
    <w:rsid w:val="000B6427"/>
    <w:rsid w:val="000B65B1"/>
    <w:rsid w:val="000B7FE0"/>
    <w:rsid w:val="000C2285"/>
    <w:rsid w:val="000C5DBD"/>
    <w:rsid w:val="000D139B"/>
    <w:rsid w:val="000D1AF0"/>
    <w:rsid w:val="000D1FDD"/>
    <w:rsid w:val="000D7A00"/>
    <w:rsid w:val="000E26F0"/>
    <w:rsid w:val="000E36A9"/>
    <w:rsid w:val="000E3F94"/>
    <w:rsid w:val="000E57B9"/>
    <w:rsid w:val="000E5A80"/>
    <w:rsid w:val="000F1D98"/>
    <w:rsid w:val="000F3E93"/>
    <w:rsid w:val="000F536A"/>
    <w:rsid w:val="000F62FC"/>
    <w:rsid w:val="000F72AD"/>
    <w:rsid w:val="00100C52"/>
    <w:rsid w:val="001024A7"/>
    <w:rsid w:val="00111257"/>
    <w:rsid w:val="00115B40"/>
    <w:rsid w:val="00122247"/>
    <w:rsid w:val="0012362D"/>
    <w:rsid w:val="0012607F"/>
    <w:rsid w:val="00126364"/>
    <w:rsid w:val="001275C4"/>
    <w:rsid w:val="00127929"/>
    <w:rsid w:val="00127FE8"/>
    <w:rsid w:val="00132A0B"/>
    <w:rsid w:val="00134010"/>
    <w:rsid w:val="001415CC"/>
    <w:rsid w:val="0015141A"/>
    <w:rsid w:val="00152FF1"/>
    <w:rsid w:val="001534F0"/>
    <w:rsid w:val="00154F69"/>
    <w:rsid w:val="00155711"/>
    <w:rsid w:val="00155CEA"/>
    <w:rsid w:val="00155FE1"/>
    <w:rsid w:val="00160EFC"/>
    <w:rsid w:val="00161D5A"/>
    <w:rsid w:val="00162273"/>
    <w:rsid w:val="00163189"/>
    <w:rsid w:val="00164D7F"/>
    <w:rsid w:val="00166090"/>
    <w:rsid w:val="00172F77"/>
    <w:rsid w:val="0017799B"/>
    <w:rsid w:val="00177FC6"/>
    <w:rsid w:val="00180E54"/>
    <w:rsid w:val="00183E84"/>
    <w:rsid w:val="00184C04"/>
    <w:rsid w:val="0019130B"/>
    <w:rsid w:val="0019172F"/>
    <w:rsid w:val="00193300"/>
    <w:rsid w:val="0019731C"/>
    <w:rsid w:val="001A0A45"/>
    <w:rsid w:val="001A467F"/>
    <w:rsid w:val="001A5049"/>
    <w:rsid w:val="001A5050"/>
    <w:rsid w:val="001A7392"/>
    <w:rsid w:val="001A75EF"/>
    <w:rsid w:val="001B3805"/>
    <w:rsid w:val="001B57DB"/>
    <w:rsid w:val="001B63D7"/>
    <w:rsid w:val="001B6C62"/>
    <w:rsid w:val="001B77E6"/>
    <w:rsid w:val="001B7E7F"/>
    <w:rsid w:val="001C023A"/>
    <w:rsid w:val="001C1196"/>
    <w:rsid w:val="001C3D60"/>
    <w:rsid w:val="001C675F"/>
    <w:rsid w:val="001D070A"/>
    <w:rsid w:val="001D0962"/>
    <w:rsid w:val="001D0C38"/>
    <w:rsid w:val="001D0E19"/>
    <w:rsid w:val="001D5C27"/>
    <w:rsid w:val="001D75B4"/>
    <w:rsid w:val="001E16BE"/>
    <w:rsid w:val="001E29E5"/>
    <w:rsid w:val="001F0D39"/>
    <w:rsid w:val="001F2B87"/>
    <w:rsid w:val="001F4FF6"/>
    <w:rsid w:val="001F5E5D"/>
    <w:rsid w:val="001F7002"/>
    <w:rsid w:val="00203272"/>
    <w:rsid w:val="00203637"/>
    <w:rsid w:val="0020501F"/>
    <w:rsid w:val="0021108B"/>
    <w:rsid w:val="00211BBF"/>
    <w:rsid w:val="00211FEB"/>
    <w:rsid w:val="00212428"/>
    <w:rsid w:val="00212519"/>
    <w:rsid w:val="002126E0"/>
    <w:rsid w:val="0021326F"/>
    <w:rsid w:val="0021431D"/>
    <w:rsid w:val="00214399"/>
    <w:rsid w:val="002148FA"/>
    <w:rsid w:val="00215557"/>
    <w:rsid w:val="00215879"/>
    <w:rsid w:val="0021609C"/>
    <w:rsid w:val="0021756F"/>
    <w:rsid w:val="002201DD"/>
    <w:rsid w:val="002218E5"/>
    <w:rsid w:val="00221BEC"/>
    <w:rsid w:val="00221E2D"/>
    <w:rsid w:val="00222197"/>
    <w:rsid w:val="00222373"/>
    <w:rsid w:val="0022728C"/>
    <w:rsid w:val="002319A2"/>
    <w:rsid w:val="002357C1"/>
    <w:rsid w:val="00237159"/>
    <w:rsid w:val="00250CE3"/>
    <w:rsid w:val="00251519"/>
    <w:rsid w:val="0025326F"/>
    <w:rsid w:val="002562A3"/>
    <w:rsid w:val="002565BB"/>
    <w:rsid w:val="00257B4E"/>
    <w:rsid w:val="00257E51"/>
    <w:rsid w:val="00270381"/>
    <w:rsid w:val="00274588"/>
    <w:rsid w:val="00275C22"/>
    <w:rsid w:val="00280CA4"/>
    <w:rsid w:val="0028106E"/>
    <w:rsid w:val="00286F95"/>
    <w:rsid w:val="00287684"/>
    <w:rsid w:val="002909D4"/>
    <w:rsid w:val="00290D3B"/>
    <w:rsid w:val="002962C1"/>
    <w:rsid w:val="0029716B"/>
    <w:rsid w:val="002A04BE"/>
    <w:rsid w:val="002A1293"/>
    <w:rsid w:val="002A17D1"/>
    <w:rsid w:val="002A227E"/>
    <w:rsid w:val="002B0847"/>
    <w:rsid w:val="002B09F9"/>
    <w:rsid w:val="002B6470"/>
    <w:rsid w:val="002B70D7"/>
    <w:rsid w:val="002C0113"/>
    <w:rsid w:val="002C2106"/>
    <w:rsid w:val="002C31D0"/>
    <w:rsid w:val="002C395E"/>
    <w:rsid w:val="002C5B7B"/>
    <w:rsid w:val="002C5E49"/>
    <w:rsid w:val="002C7DEB"/>
    <w:rsid w:val="002D6F27"/>
    <w:rsid w:val="002D714F"/>
    <w:rsid w:val="002D7538"/>
    <w:rsid w:val="002E3CAC"/>
    <w:rsid w:val="002E4E56"/>
    <w:rsid w:val="002E5AA4"/>
    <w:rsid w:val="002E6590"/>
    <w:rsid w:val="002F1A87"/>
    <w:rsid w:val="002F32AD"/>
    <w:rsid w:val="002F5542"/>
    <w:rsid w:val="00300594"/>
    <w:rsid w:val="00303028"/>
    <w:rsid w:val="00306000"/>
    <w:rsid w:val="003068E0"/>
    <w:rsid w:val="00307A2A"/>
    <w:rsid w:val="00314C8C"/>
    <w:rsid w:val="0031786C"/>
    <w:rsid w:val="003179E2"/>
    <w:rsid w:val="00317C33"/>
    <w:rsid w:val="00320985"/>
    <w:rsid w:val="00320C0F"/>
    <w:rsid w:val="00324A75"/>
    <w:rsid w:val="00325531"/>
    <w:rsid w:val="003266C0"/>
    <w:rsid w:val="0033186A"/>
    <w:rsid w:val="0033357F"/>
    <w:rsid w:val="00335682"/>
    <w:rsid w:val="00346172"/>
    <w:rsid w:val="00346D89"/>
    <w:rsid w:val="003478EA"/>
    <w:rsid w:val="00347E03"/>
    <w:rsid w:val="003539F4"/>
    <w:rsid w:val="00357096"/>
    <w:rsid w:val="003571D2"/>
    <w:rsid w:val="003572AF"/>
    <w:rsid w:val="003572CD"/>
    <w:rsid w:val="00360FD9"/>
    <w:rsid w:val="003616FD"/>
    <w:rsid w:val="00364C33"/>
    <w:rsid w:val="00375F8D"/>
    <w:rsid w:val="0038225A"/>
    <w:rsid w:val="003829C0"/>
    <w:rsid w:val="00392F10"/>
    <w:rsid w:val="0039325E"/>
    <w:rsid w:val="003957D9"/>
    <w:rsid w:val="00395E67"/>
    <w:rsid w:val="003977CE"/>
    <w:rsid w:val="00397F01"/>
    <w:rsid w:val="003A4C09"/>
    <w:rsid w:val="003A69FD"/>
    <w:rsid w:val="003A7A05"/>
    <w:rsid w:val="003B2F34"/>
    <w:rsid w:val="003B553D"/>
    <w:rsid w:val="003B5747"/>
    <w:rsid w:val="003B6E15"/>
    <w:rsid w:val="003C2981"/>
    <w:rsid w:val="003C2E7E"/>
    <w:rsid w:val="003C5068"/>
    <w:rsid w:val="003C6763"/>
    <w:rsid w:val="003D4B20"/>
    <w:rsid w:val="003E1730"/>
    <w:rsid w:val="003E1738"/>
    <w:rsid w:val="003E194C"/>
    <w:rsid w:val="003E3DB4"/>
    <w:rsid w:val="003E44A3"/>
    <w:rsid w:val="003E6D4A"/>
    <w:rsid w:val="003F41F3"/>
    <w:rsid w:val="003F44E3"/>
    <w:rsid w:val="003F57F4"/>
    <w:rsid w:val="003F780F"/>
    <w:rsid w:val="00400CF6"/>
    <w:rsid w:val="0040198B"/>
    <w:rsid w:val="004034CF"/>
    <w:rsid w:val="00404E32"/>
    <w:rsid w:val="00406238"/>
    <w:rsid w:val="0040717A"/>
    <w:rsid w:val="00407242"/>
    <w:rsid w:val="00410ABF"/>
    <w:rsid w:val="0041257D"/>
    <w:rsid w:val="004138E0"/>
    <w:rsid w:val="00422E36"/>
    <w:rsid w:val="004243EC"/>
    <w:rsid w:val="00426C17"/>
    <w:rsid w:val="00426C5E"/>
    <w:rsid w:val="00432C09"/>
    <w:rsid w:val="0043383C"/>
    <w:rsid w:val="0043580E"/>
    <w:rsid w:val="00435D5A"/>
    <w:rsid w:val="00441E51"/>
    <w:rsid w:val="00443546"/>
    <w:rsid w:val="004438C9"/>
    <w:rsid w:val="00443913"/>
    <w:rsid w:val="00443B4B"/>
    <w:rsid w:val="00444260"/>
    <w:rsid w:val="00444754"/>
    <w:rsid w:val="00445349"/>
    <w:rsid w:val="0044583B"/>
    <w:rsid w:val="00450B47"/>
    <w:rsid w:val="00451827"/>
    <w:rsid w:val="00451C97"/>
    <w:rsid w:val="00454522"/>
    <w:rsid w:val="0045620C"/>
    <w:rsid w:val="0045729E"/>
    <w:rsid w:val="004619C6"/>
    <w:rsid w:val="004659B3"/>
    <w:rsid w:val="0047061F"/>
    <w:rsid w:val="0047266F"/>
    <w:rsid w:val="00474179"/>
    <w:rsid w:val="00474950"/>
    <w:rsid w:val="004770F3"/>
    <w:rsid w:val="004816B6"/>
    <w:rsid w:val="004856A8"/>
    <w:rsid w:val="0048694D"/>
    <w:rsid w:val="0048719D"/>
    <w:rsid w:val="00487C0B"/>
    <w:rsid w:val="0049300F"/>
    <w:rsid w:val="004957D5"/>
    <w:rsid w:val="0049588E"/>
    <w:rsid w:val="004A32E2"/>
    <w:rsid w:val="004A471B"/>
    <w:rsid w:val="004A4771"/>
    <w:rsid w:val="004A69F2"/>
    <w:rsid w:val="004A731E"/>
    <w:rsid w:val="004B3DD3"/>
    <w:rsid w:val="004B70FC"/>
    <w:rsid w:val="004C141F"/>
    <w:rsid w:val="004C72C8"/>
    <w:rsid w:val="004C7545"/>
    <w:rsid w:val="004D08A1"/>
    <w:rsid w:val="004D299F"/>
    <w:rsid w:val="004D352C"/>
    <w:rsid w:val="004D4F6E"/>
    <w:rsid w:val="004D6CD8"/>
    <w:rsid w:val="004E11BB"/>
    <w:rsid w:val="004F00F3"/>
    <w:rsid w:val="004F0246"/>
    <w:rsid w:val="004F274D"/>
    <w:rsid w:val="004F4096"/>
    <w:rsid w:val="004F5E42"/>
    <w:rsid w:val="00505675"/>
    <w:rsid w:val="00506750"/>
    <w:rsid w:val="0051063E"/>
    <w:rsid w:val="005120FE"/>
    <w:rsid w:val="00512B36"/>
    <w:rsid w:val="00514450"/>
    <w:rsid w:val="00515786"/>
    <w:rsid w:val="005166DA"/>
    <w:rsid w:val="005174AD"/>
    <w:rsid w:val="005175A2"/>
    <w:rsid w:val="005238A1"/>
    <w:rsid w:val="00523D41"/>
    <w:rsid w:val="005276A6"/>
    <w:rsid w:val="00532DB1"/>
    <w:rsid w:val="00533AEA"/>
    <w:rsid w:val="00534A45"/>
    <w:rsid w:val="005375EE"/>
    <w:rsid w:val="00541E1D"/>
    <w:rsid w:val="00541FC3"/>
    <w:rsid w:val="005440F2"/>
    <w:rsid w:val="00544A12"/>
    <w:rsid w:val="00553353"/>
    <w:rsid w:val="0056033F"/>
    <w:rsid w:val="00563023"/>
    <w:rsid w:val="005676D8"/>
    <w:rsid w:val="00572192"/>
    <w:rsid w:val="00574CAB"/>
    <w:rsid w:val="00575813"/>
    <w:rsid w:val="00576965"/>
    <w:rsid w:val="00576EFB"/>
    <w:rsid w:val="0058107A"/>
    <w:rsid w:val="00586927"/>
    <w:rsid w:val="00586B40"/>
    <w:rsid w:val="00586C92"/>
    <w:rsid w:val="005914CD"/>
    <w:rsid w:val="0059251A"/>
    <w:rsid w:val="0059590D"/>
    <w:rsid w:val="00596D3E"/>
    <w:rsid w:val="0059707C"/>
    <w:rsid w:val="00597DC3"/>
    <w:rsid w:val="005A06A2"/>
    <w:rsid w:val="005A3639"/>
    <w:rsid w:val="005A7F30"/>
    <w:rsid w:val="005B07DD"/>
    <w:rsid w:val="005B0E3E"/>
    <w:rsid w:val="005B241D"/>
    <w:rsid w:val="005B25B0"/>
    <w:rsid w:val="005B336D"/>
    <w:rsid w:val="005B7699"/>
    <w:rsid w:val="005C2CC9"/>
    <w:rsid w:val="005C52DD"/>
    <w:rsid w:val="005C571C"/>
    <w:rsid w:val="005C72E4"/>
    <w:rsid w:val="005E3D98"/>
    <w:rsid w:val="005E5CAA"/>
    <w:rsid w:val="005E745E"/>
    <w:rsid w:val="005F102C"/>
    <w:rsid w:val="005F337E"/>
    <w:rsid w:val="005F3EE2"/>
    <w:rsid w:val="005F4249"/>
    <w:rsid w:val="005F48F2"/>
    <w:rsid w:val="005F5FE7"/>
    <w:rsid w:val="00600988"/>
    <w:rsid w:val="006010D9"/>
    <w:rsid w:val="0060181A"/>
    <w:rsid w:val="00602076"/>
    <w:rsid w:val="00605C62"/>
    <w:rsid w:val="00613A52"/>
    <w:rsid w:val="00614E36"/>
    <w:rsid w:val="00614F72"/>
    <w:rsid w:val="00616021"/>
    <w:rsid w:val="00622291"/>
    <w:rsid w:val="00622764"/>
    <w:rsid w:val="00623CA5"/>
    <w:rsid w:val="00627071"/>
    <w:rsid w:val="00632CA7"/>
    <w:rsid w:val="006334B1"/>
    <w:rsid w:val="00634F0D"/>
    <w:rsid w:val="0064029A"/>
    <w:rsid w:val="00642064"/>
    <w:rsid w:val="0064545A"/>
    <w:rsid w:val="006513BE"/>
    <w:rsid w:val="00652618"/>
    <w:rsid w:val="006530CC"/>
    <w:rsid w:val="00653315"/>
    <w:rsid w:val="00654106"/>
    <w:rsid w:val="0065411B"/>
    <w:rsid w:val="006548E9"/>
    <w:rsid w:val="006570AE"/>
    <w:rsid w:val="0066000C"/>
    <w:rsid w:val="00661ABE"/>
    <w:rsid w:val="00661EDF"/>
    <w:rsid w:val="00662922"/>
    <w:rsid w:val="0066367E"/>
    <w:rsid w:val="006640E1"/>
    <w:rsid w:val="0066511F"/>
    <w:rsid w:val="00666A2F"/>
    <w:rsid w:val="006708BD"/>
    <w:rsid w:val="00670B0D"/>
    <w:rsid w:val="00671B09"/>
    <w:rsid w:val="0067283F"/>
    <w:rsid w:val="0067381D"/>
    <w:rsid w:val="006739AC"/>
    <w:rsid w:val="00675307"/>
    <w:rsid w:val="00680285"/>
    <w:rsid w:val="00681AF0"/>
    <w:rsid w:val="00683F18"/>
    <w:rsid w:val="00684B31"/>
    <w:rsid w:val="00690F47"/>
    <w:rsid w:val="006917CA"/>
    <w:rsid w:val="006927B3"/>
    <w:rsid w:val="0069400D"/>
    <w:rsid w:val="00696DD2"/>
    <w:rsid w:val="006975B4"/>
    <w:rsid w:val="006A4726"/>
    <w:rsid w:val="006A4812"/>
    <w:rsid w:val="006A4AE0"/>
    <w:rsid w:val="006A4F65"/>
    <w:rsid w:val="006A6307"/>
    <w:rsid w:val="006B0E82"/>
    <w:rsid w:val="006B14C5"/>
    <w:rsid w:val="006B7ECA"/>
    <w:rsid w:val="006C3190"/>
    <w:rsid w:val="006C319C"/>
    <w:rsid w:val="006C3755"/>
    <w:rsid w:val="006C4F85"/>
    <w:rsid w:val="006C78EC"/>
    <w:rsid w:val="006D046B"/>
    <w:rsid w:val="006D1324"/>
    <w:rsid w:val="006D24B4"/>
    <w:rsid w:val="006D4A59"/>
    <w:rsid w:val="006D5141"/>
    <w:rsid w:val="006D572B"/>
    <w:rsid w:val="006E004A"/>
    <w:rsid w:val="006E1E8E"/>
    <w:rsid w:val="006E306A"/>
    <w:rsid w:val="006E73B5"/>
    <w:rsid w:val="006F1652"/>
    <w:rsid w:val="006F4506"/>
    <w:rsid w:val="006F4A7C"/>
    <w:rsid w:val="00700ECF"/>
    <w:rsid w:val="0070133D"/>
    <w:rsid w:val="00701A33"/>
    <w:rsid w:val="00703A33"/>
    <w:rsid w:val="00704DCF"/>
    <w:rsid w:val="00707A23"/>
    <w:rsid w:val="00707B96"/>
    <w:rsid w:val="00713621"/>
    <w:rsid w:val="00713714"/>
    <w:rsid w:val="00715C79"/>
    <w:rsid w:val="00716BBE"/>
    <w:rsid w:val="00721F04"/>
    <w:rsid w:val="007240BA"/>
    <w:rsid w:val="0072687C"/>
    <w:rsid w:val="00727D06"/>
    <w:rsid w:val="00732B52"/>
    <w:rsid w:val="00733C96"/>
    <w:rsid w:val="00733E68"/>
    <w:rsid w:val="007347F7"/>
    <w:rsid w:val="007373DD"/>
    <w:rsid w:val="00737D50"/>
    <w:rsid w:val="00740772"/>
    <w:rsid w:val="00740EC3"/>
    <w:rsid w:val="00740F4D"/>
    <w:rsid w:val="007434E5"/>
    <w:rsid w:val="007503DB"/>
    <w:rsid w:val="007515EF"/>
    <w:rsid w:val="00751D0F"/>
    <w:rsid w:val="00752757"/>
    <w:rsid w:val="0075321A"/>
    <w:rsid w:val="007536F5"/>
    <w:rsid w:val="007544F2"/>
    <w:rsid w:val="007568AB"/>
    <w:rsid w:val="007601B3"/>
    <w:rsid w:val="0076327A"/>
    <w:rsid w:val="007633D9"/>
    <w:rsid w:val="00764712"/>
    <w:rsid w:val="0076601D"/>
    <w:rsid w:val="00766B34"/>
    <w:rsid w:val="00770899"/>
    <w:rsid w:val="007716DE"/>
    <w:rsid w:val="00773844"/>
    <w:rsid w:val="00773C05"/>
    <w:rsid w:val="00773EB5"/>
    <w:rsid w:val="00775768"/>
    <w:rsid w:val="007761F6"/>
    <w:rsid w:val="0077656D"/>
    <w:rsid w:val="00781D50"/>
    <w:rsid w:val="00783D3D"/>
    <w:rsid w:val="00784AF4"/>
    <w:rsid w:val="0079277C"/>
    <w:rsid w:val="00793652"/>
    <w:rsid w:val="00794568"/>
    <w:rsid w:val="00795A4B"/>
    <w:rsid w:val="007A6272"/>
    <w:rsid w:val="007B1549"/>
    <w:rsid w:val="007B3BBC"/>
    <w:rsid w:val="007B61CA"/>
    <w:rsid w:val="007B6267"/>
    <w:rsid w:val="007B68C2"/>
    <w:rsid w:val="007C1F0F"/>
    <w:rsid w:val="007C22F5"/>
    <w:rsid w:val="007C4798"/>
    <w:rsid w:val="007C661C"/>
    <w:rsid w:val="007C7EE5"/>
    <w:rsid w:val="007D0905"/>
    <w:rsid w:val="007D0D3C"/>
    <w:rsid w:val="007D437C"/>
    <w:rsid w:val="007D5762"/>
    <w:rsid w:val="007D5ED7"/>
    <w:rsid w:val="007D78B2"/>
    <w:rsid w:val="007E07F3"/>
    <w:rsid w:val="007E0979"/>
    <w:rsid w:val="007E0999"/>
    <w:rsid w:val="007F22F9"/>
    <w:rsid w:val="007F2FC1"/>
    <w:rsid w:val="007F367E"/>
    <w:rsid w:val="007F5659"/>
    <w:rsid w:val="007F5E5E"/>
    <w:rsid w:val="007F78DB"/>
    <w:rsid w:val="00801284"/>
    <w:rsid w:val="00804285"/>
    <w:rsid w:val="00807D24"/>
    <w:rsid w:val="008124B7"/>
    <w:rsid w:val="00817C5A"/>
    <w:rsid w:val="0082007F"/>
    <w:rsid w:val="00820C35"/>
    <w:rsid w:val="00821144"/>
    <w:rsid w:val="00821BB9"/>
    <w:rsid w:val="00822510"/>
    <w:rsid w:val="0082367A"/>
    <w:rsid w:val="008241AF"/>
    <w:rsid w:val="00827543"/>
    <w:rsid w:val="00830370"/>
    <w:rsid w:val="008309AE"/>
    <w:rsid w:val="00832C43"/>
    <w:rsid w:val="00836ECA"/>
    <w:rsid w:val="00843577"/>
    <w:rsid w:val="00843602"/>
    <w:rsid w:val="00845D3C"/>
    <w:rsid w:val="00846824"/>
    <w:rsid w:val="00847EC4"/>
    <w:rsid w:val="0085051C"/>
    <w:rsid w:val="0085444F"/>
    <w:rsid w:val="00854472"/>
    <w:rsid w:val="008565EF"/>
    <w:rsid w:val="00857967"/>
    <w:rsid w:val="00861CFF"/>
    <w:rsid w:val="00863B92"/>
    <w:rsid w:val="00865237"/>
    <w:rsid w:val="008705B8"/>
    <w:rsid w:val="00870DCF"/>
    <w:rsid w:val="00874C13"/>
    <w:rsid w:val="00874F0A"/>
    <w:rsid w:val="00880ADA"/>
    <w:rsid w:val="0088447A"/>
    <w:rsid w:val="00886488"/>
    <w:rsid w:val="008901A4"/>
    <w:rsid w:val="00896EE0"/>
    <w:rsid w:val="008A17D7"/>
    <w:rsid w:val="008A1D19"/>
    <w:rsid w:val="008A2EE6"/>
    <w:rsid w:val="008A4584"/>
    <w:rsid w:val="008A4AE7"/>
    <w:rsid w:val="008A770A"/>
    <w:rsid w:val="008B3192"/>
    <w:rsid w:val="008B3E84"/>
    <w:rsid w:val="008B4748"/>
    <w:rsid w:val="008B693F"/>
    <w:rsid w:val="008C1E13"/>
    <w:rsid w:val="008C20BE"/>
    <w:rsid w:val="008C253F"/>
    <w:rsid w:val="008C33CB"/>
    <w:rsid w:val="008C3560"/>
    <w:rsid w:val="008C778C"/>
    <w:rsid w:val="008D2EFA"/>
    <w:rsid w:val="008E1E32"/>
    <w:rsid w:val="008E6A9A"/>
    <w:rsid w:val="008F1F9F"/>
    <w:rsid w:val="008F4976"/>
    <w:rsid w:val="008F5256"/>
    <w:rsid w:val="008F63BA"/>
    <w:rsid w:val="008F71FA"/>
    <w:rsid w:val="00901C9A"/>
    <w:rsid w:val="00902E05"/>
    <w:rsid w:val="009040F3"/>
    <w:rsid w:val="00905456"/>
    <w:rsid w:val="009063E6"/>
    <w:rsid w:val="009106F5"/>
    <w:rsid w:val="00912BE0"/>
    <w:rsid w:val="00914E8F"/>
    <w:rsid w:val="00916983"/>
    <w:rsid w:val="00920282"/>
    <w:rsid w:val="00926110"/>
    <w:rsid w:val="0092687F"/>
    <w:rsid w:val="009309E2"/>
    <w:rsid w:val="00931BB0"/>
    <w:rsid w:val="00933CE0"/>
    <w:rsid w:val="00934BF4"/>
    <w:rsid w:val="0093583A"/>
    <w:rsid w:val="00935B21"/>
    <w:rsid w:val="009373EE"/>
    <w:rsid w:val="00937BDF"/>
    <w:rsid w:val="00943174"/>
    <w:rsid w:val="009437B1"/>
    <w:rsid w:val="00946812"/>
    <w:rsid w:val="009473E3"/>
    <w:rsid w:val="00951A5D"/>
    <w:rsid w:val="00953497"/>
    <w:rsid w:val="00953783"/>
    <w:rsid w:val="00955217"/>
    <w:rsid w:val="00960510"/>
    <w:rsid w:val="0096139C"/>
    <w:rsid w:val="0096240E"/>
    <w:rsid w:val="00963191"/>
    <w:rsid w:val="009726AD"/>
    <w:rsid w:val="00973F31"/>
    <w:rsid w:val="00975E63"/>
    <w:rsid w:val="00976F4B"/>
    <w:rsid w:val="00984437"/>
    <w:rsid w:val="00984845"/>
    <w:rsid w:val="0098790C"/>
    <w:rsid w:val="009943A3"/>
    <w:rsid w:val="00995FA4"/>
    <w:rsid w:val="009A1B71"/>
    <w:rsid w:val="009B1018"/>
    <w:rsid w:val="009B155E"/>
    <w:rsid w:val="009B4375"/>
    <w:rsid w:val="009B478F"/>
    <w:rsid w:val="009B490A"/>
    <w:rsid w:val="009C2115"/>
    <w:rsid w:val="009C2FE5"/>
    <w:rsid w:val="009C3C6E"/>
    <w:rsid w:val="009C573F"/>
    <w:rsid w:val="009C5AD6"/>
    <w:rsid w:val="009D372B"/>
    <w:rsid w:val="009D5EEC"/>
    <w:rsid w:val="009D6EAB"/>
    <w:rsid w:val="009D748A"/>
    <w:rsid w:val="009D783A"/>
    <w:rsid w:val="009E0ED9"/>
    <w:rsid w:val="009E12CE"/>
    <w:rsid w:val="009E2441"/>
    <w:rsid w:val="009E27A8"/>
    <w:rsid w:val="009E3379"/>
    <w:rsid w:val="009E45AA"/>
    <w:rsid w:val="009E539B"/>
    <w:rsid w:val="009E5FF2"/>
    <w:rsid w:val="009F26DA"/>
    <w:rsid w:val="009F33F5"/>
    <w:rsid w:val="009F4768"/>
    <w:rsid w:val="009F78FA"/>
    <w:rsid w:val="00A032BD"/>
    <w:rsid w:val="00A04ED6"/>
    <w:rsid w:val="00A0511E"/>
    <w:rsid w:val="00A06647"/>
    <w:rsid w:val="00A07218"/>
    <w:rsid w:val="00A074CF"/>
    <w:rsid w:val="00A07829"/>
    <w:rsid w:val="00A07BBC"/>
    <w:rsid w:val="00A12AF6"/>
    <w:rsid w:val="00A145E1"/>
    <w:rsid w:val="00A15B7F"/>
    <w:rsid w:val="00A20468"/>
    <w:rsid w:val="00A20918"/>
    <w:rsid w:val="00A4132B"/>
    <w:rsid w:val="00A4133C"/>
    <w:rsid w:val="00A42B20"/>
    <w:rsid w:val="00A4441F"/>
    <w:rsid w:val="00A44650"/>
    <w:rsid w:val="00A4547A"/>
    <w:rsid w:val="00A467BE"/>
    <w:rsid w:val="00A46898"/>
    <w:rsid w:val="00A6092A"/>
    <w:rsid w:val="00A60E01"/>
    <w:rsid w:val="00A6168E"/>
    <w:rsid w:val="00A6333C"/>
    <w:rsid w:val="00A655D0"/>
    <w:rsid w:val="00A674D3"/>
    <w:rsid w:val="00A723D1"/>
    <w:rsid w:val="00A762DB"/>
    <w:rsid w:val="00A813B7"/>
    <w:rsid w:val="00A8149B"/>
    <w:rsid w:val="00A81F94"/>
    <w:rsid w:val="00A839D7"/>
    <w:rsid w:val="00A856DF"/>
    <w:rsid w:val="00A85E5B"/>
    <w:rsid w:val="00A866C1"/>
    <w:rsid w:val="00A86B15"/>
    <w:rsid w:val="00A873BD"/>
    <w:rsid w:val="00A87AD1"/>
    <w:rsid w:val="00A91821"/>
    <w:rsid w:val="00A94233"/>
    <w:rsid w:val="00A94CB2"/>
    <w:rsid w:val="00AA0461"/>
    <w:rsid w:val="00AA1740"/>
    <w:rsid w:val="00AA1D17"/>
    <w:rsid w:val="00AA28AC"/>
    <w:rsid w:val="00AA6062"/>
    <w:rsid w:val="00AA769D"/>
    <w:rsid w:val="00AB445B"/>
    <w:rsid w:val="00AC0CA1"/>
    <w:rsid w:val="00AC1466"/>
    <w:rsid w:val="00AC42FB"/>
    <w:rsid w:val="00AC67AC"/>
    <w:rsid w:val="00AD04E0"/>
    <w:rsid w:val="00AD24F1"/>
    <w:rsid w:val="00AE16C3"/>
    <w:rsid w:val="00AE21EA"/>
    <w:rsid w:val="00AE2C6C"/>
    <w:rsid w:val="00AF16C4"/>
    <w:rsid w:val="00AF3FDB"/>
    <w:rsid w:val="00AF7745"/>
    <w:rsid w:val="00B01135"/>
    <w:rsid w:val="00B0412D"/>
    <w:rsid w:val="00B04C01"/>
    <w:rsid w:val="00B07175"/>
    <w:rsid w:val="00B11B76"/>
    <w:rsid w:val="00B11E82"/>
    <w:rsid w:val="00B1325A"/>
    <w:rsid w:val="00B20CC1"/>
    <w:rsid w:val="00B21720"/>
    <w:rsid w:val="00B2693F"/>
    <w:rsid w:val="00B301F3"/>
    <w:rsid w:val="00B37827"/>
    <w:rsid w:val="00B4042E"/>
    <w:rsid w:val="00B427B5"/>
    <w:rsid w:val="00B476CF"/>
    <w:rsid w:val="00B531DB"/>
    <w:rsid w:val="00B570C1"/>
    <w:rsid w:val="00B62E71"/>
    <w:rsid w:val="00B64C15"/>
    <w:rsid w:val="00B64D7E"/>
    <w:rsid w:val="00B652EC"/>
    <w:rsid w:val="00B7415D"/>
    <w:rsid w:val="00B758F2"/>
    <w:rsid w:val="00B810D7"/>
    <w:rsid w:val="00B854E4"/>
    <w:rsid w:val="00B86FEF"/>
    <w:rsid w:val="00B9091D"/>
    <w:rsid w:val="00B90F0A"/>
    <w:rsid w:val="00B92702"/>
    <w:rsid w:val="00B92903"/>
    <w:rsid w:val="00B9405E"/>
    <w:rsid w:val="00B948BE"/>
    <w:rsid w:val="00B96E1C"/>
    <w:rsid w:val="00B97160"/>
    <w:rsid w:val="00BA2106"/>
    <w:rsid w:val="00BA22E3"/>
    <w:rsid w:val="00BA42A5"/>
    <w:rsid w:val="00BB257C"/>
    <w:rsid w:val="00BB422F"/>
    <w:rsid w:val="00BB4449"/>
    <w:rsid w:val="00BB6535"/>
    <w:rsid w:val="00BC1055"/>
    <w:rsid w:val="00BC1729"/>
    <w:rsid w:val="00BC18CD"/>
    <w:rsid w:val="00BC3406"/>
    <w:rsid w:val="00BC680F"/>
    <w:rsid w:val="00BC7546"/>
    <w:rsid w:val="00BD03C9"/>
    <w:rsid w:val="00BD3E6A"/>
    <w:rsid w:val="00BD6E24"/>
    <w:rsid w:val="00BE133B"/>
    <w:rsid w:val="00BE16C9"/>
    <w:rsid w:val="00BE2ABB"/>
    <w:rsid w:val="00BE6565"/>
    <w:rsid w:val="00BF2875"/>
    <w:rsid w:val="00BF3F6B"/>
    <w:rsid w:val="00BF51C2"/>
    <w:rsid w:val="00BF6CD8"/>
    <w:rsid w:val="00BF7F78"/>
    <w:rsid w:val="00C037AD"/>
    <w:rsid w:val="00C05724"/>
    <w:rsid w:val="00C07AF2"/>
    <w:rsid w:val="00C07F9D"/>
    <w:rsid w:val="00C10150"/>
    <w:rsid w:val="00C11201"/>
    <w:rsid w:val="00C12B8F"/>
    <w:rsid w:val="00C147B9"/>
    <w:rsid w:val="00C14E33"/>
    <w:rsid w:val="00C157AD"/>
    <w:rsid w:val="00C2743E"/>
    <w:rsid w:val="00C32582"/>
    <w:rsid w:val="00C33EB9"/>
    <w:rsid w:val="00C34AEE"/>
    <w:rsid w:val="00C34F91"/>
    <w:rsid w:val="00C36653"/>
    <w:rsid w:val="00C3683D"/>
    <w:rsid w:val="00C36C1E"/>
    <w:rsid w:val="00C40851"/>
    <w:rsid w:val="00C408B0"/>
    <w:rsid w:val="00C40990"/>
    <w:rsid w:val="00C41FFF"/>
    <w:rsid w:val="00C44E31"/>
    <w:rsid w:val="00C45A9A"/>
    <w:rsid w:val="00C46E02"/>
    <w:rsid w:val="00C47A3B"/>
    <w:rsid w:val="00C47F8E"/>
    <w:rsid w:val="00C50DEA"/>
    <w:rsid w:val="00C51AFF"/>
    <w:rsid w:val="00C54763"/>
    <w:rsid w:val="00C5528E"/>
    <w:rsid w:val="00C6290B"/>
    <w:rsid w:val="00C62AD5"/>
    <w:rsid w:val="00C663E9"/>
    <w:rsid w:val="00C67A11"/>
    <w:rsid w:val="00C7269A"/>
    <w:rsid w:val="00C733EB"/>
    <w:rsid w:val="00C7403E"/>
    <w:rsid w:val="00C76F8E"/>
    <w:rsid w:val="00C85EF2"/>
    <w:rsid w:val="00C90266"/>
    <w:rsid w:val="00C91AFF"/>
    <w:rsid w:val="00C946D6"/>
    <w:rsid w:val="00C94BCF"/>
    <w:rsid w:val="00CA22A6"/>
    <w:rsid w:val="00CA36D8"/>
    <w:rsid w:val="00CA4414"/>
    <w:rsid w:val="00CA4814"/>
    <w:rsid w:val="00CA6252"/>
    <w:rsid w:val="00CB0D68"/>
    <w:rsid w:val="00CB45E3"/>
    <w:rsid w:val="00CB515C"/>
    <w:rsid w:val="00CB5DB1"/>
    <w:rsid w:val="00CB679F"/>
    <w:rsid w:val="00CB6A9F"/>
    <w:rsid w:val="00CC1067"/>
    <w:rsid w:val="00CC476A"/>
    <w:rsid w:val="00CC6F3D"/>
    <w:rsid w:val="00CC7698"/>
    <w:rsid w:val="00CC77DC"/>
    <w:rsid w:val="00CD06E7"/>
    <w:rsid w:val="00CD4C77"/>
    <w:rsid w:val="00CD510F"/>
    <w:rsid w:val="00CD6881"/>
    <w:rsid w:val="00CE0CC4"/>
    <w:rsid w:val="00CE24F5"/>
    <w:rsid w:val="00CE48AE"/>
    <w:rsid w:val="00CE53FC"/>
    <w:rsid w:val="00CE6C32"/>
    <w:rsid w:val="00CF01AE"/>
    <w:rsid w:val="00CF0F9B"/>
    <w:rsid w:val="00CF47EE"/>
    <w:rsid w:val="00CF5067"/>
    <w:rsid w:val="00D0005E"/>
    <w:rsid w:val="00D02508"/>
    <w:rsid w:val="00D05A2B"/>
    <w:rsid w:val="00D178C8"/>
    <w:rsid w:val="00D211F4"/>
    <w:rsid w:val="00D21B00"/>
    <w:rsid w:val="00D23BEC"/>
    <w:rsid w:val="00D24523"/>
    <w:rsid w:val="00D326FE"/>
    <w:rsid w:val="00D3282E"/>
    <w:rsid w:val="00D3313D"/>
    <w:rsid w:val="00D34E19"/>
    <w:rsid w:val="00D3591A"/>
    <w:rsid w:val="00D40888"/>
    <w:rsid w:val="00D43F3A"/>
    <w:rsid w:val="00D45517"/>
    <w:rsid w:val="00D47899"/>
    <w:rsid w:val="00D50506"/>
    <w:rsid w:val="00D50888"/>
    <w:rsid w:val="00D5379E"/>
    <w:rsid w:val="00D53C16"/>
    <w:rsid w:val="00D63453"/>
    <w:rsid w:val="00D64A1C"/>
    <w:rsid w:val="00D65B9B"/>
    <w:rsid w:val="00D66099"/>
    <w:rsid w:val="00D6770E"/>
    <w:rsid w:val="00D724D4"/>
    <w:rsid w:val="00D73713"/>
    <w:rsid w:val="00D7573F"/>
    <w:rsid w:val="00D7686B"/>
    <w:rsid w:val="00D77047"/>
    <w:rsid w:val="00D7797A"/>
    <w:rsid w:val="00D81582"/>
    <w:rsid w:val="00D82A96"/>
    <w:rsid w:val="00D902F1"/>
    <w:rsid w:val="00D91D7F"/>
    <w:rsid w:val="00D93AF1"/>
    <w:rsid w:val="00D93E5D"/>
    <w:rsid w:val="00D95112"/>
    <w:rsid w:val="00D9633C"/>
    <w:rsid w:val="00DA036F"/>
    <w:rsid w:val="00DA1E82"/>
    <w:rsid w:val="00DA21AA"/>
    <w:rsid w:val="00DA3356"/>
    <w:rsid w:val="00DA4A75"/>
    <w:rsid w:val="00DA4BE9"/>
    <w:rsid w:val="00DA5DFF"/>
    <w:rsid w:val="00DA681E"/>
    <w:rsid w:val="00DB14CB"/>
    <w:rsid w:val="00DB2A48"/>
    <w:rsid w:val="00DB2BFC"/>
    <w:rsid w:val="00DB312B"/>
    <w:rsid w:val="00DB395C"/>
    <w:rsid w:val="00DB653F"/>
    <w:rsid w:val="00DB7527"/>
    <w:rsid w:val="00DC1F0C"/>
    <w:rsid w:val="00DC2130"/>
    <w:rsid w:val="00DC46A3"/>
    <w:rsid w:val="00DD3D3C"/>
    <w:rsid w:val="00DD5766"/>
    <w:rsid w:val="00DE25C5"/>
    <w:rsid w:val="00DE3DCC"/>
    <w:rsid w:val="00DF016E"/>
    <w:rsid w:val="00DF0BBB"/>
    <w:rsid w:val="00DF401B"/>
    <w:rsid w:val="00DF5A5D"/>
    <w:rsid w:val="00E029DE"/>
    <w:rsid w:val="00E0488E"/>
    <w:rsid w:val="00E04890"/>
    <w:rsid w:val="00E069E3"/>
    <w:rsid w:val="00E127DD"/>
    <w:rsid w:val="00E15289"/>
    <w:rsid w:val="00E152CE"/>
    <w:rsid w:val="00E15AE7"/>
    <w:rsid w:val="00E2079F"/>
    <w:rsid w:val="00E20BD0"/>
    <w:rsid w:val="00E22B3A"/>
    <w:rsid w:val="00E25455"/>
    <w:rsid w:val="00E341D6"/>
    <w:rsid w:val="00E348DE"/>
    <w:rsid w:val="00E35332"/>
    <w:rsid w:val="00E353C2"/>
    <w:rsid w:val="00E3694F"/>
    <w:rsid w:val="00E372C8"/>
    <w:rsid w:val="00E4061F"/>
    <w:rsid w:val="00E423B3"/>
    <w:rsid w:val="00E45ACA"/>
    <w:rsid w:val="00E45FCD"/>
    <w:rsid w:val="00E46E17"/>
    <w:rsid w:val="00E51545"/>
    <w:rsid w:val="00E52598"/>
    <w:rsid w:val="00E53606"/>
    <w:rsid w:val="00E551F4"/>
    <w:rsid w:val="00E60471"/>
    <w:rsid w:val="00E61259"/>
    <w:rsid w:val="00E65F5E"/>
    <w:rsid w:val="00E6682F"/>
    <w:rsid w:val="00E71353"/>
    <w:rsid w:val="00E755DC"/>
    <w:rsid w:val="00E7568F"/>
    <w:rsid w:val="00E80039"/>
    <w:rsid w:val="00E83FA5"/>
    <w:rsid w:val="00E865DB"/>
    <w:rsid w:val="00E90865"/>
    <w:rsid w:val="00E921D4"/>
    <w:rsid w:val="00E93C25"/>
    <w:rsid w:val="00E94950"/>
    <w:rsid w:val="00E94A37"/>
    <w:rsid w:val="00E9595B"/>
    <w:rsid w:val="00E9752D"/>
    <w:rsid w:val="00E97E65"/>
    <w:rsid w:val="00EA1F81"/>
    <w:rsid w:val="00EB12D1"/>
    <w:rsid w:val="00EB17CD"/>
    <w:rsid w:val="00EB1D2D"/>
    <w:rsid w:val="00EB33CD"/>
    <w:rsid w:val="00EB79DF"/>
    <w:rsid w:val="00EC059E"/>
    <w:rsid w:val="00EC1CF6"/>
    <w:rsid w:val="00EC204F"/>
    <w:rsid w:val="00EC230C"/>
    <w:rsid w:val="00EC2CC4"/>
    <w:rsid w:val="00EC3F35"/>
    <w:rsid w:val="00EC4DC6"/>
    <w:rsid w:val="00EC507C"/>
    <w:rsid w:val="00EC63B8"/>
    <w:rsid w:val="00EC7C68"/>
    <w:rsid w:val="00ED0ABE"/>
    <w:rsid w:val="00ED242D"/>
    <w:rsid w:val="00ED5D09"/>
    <w:rsid w:val="00EE1242"/>
    <w:rsid w:val="00EE4A08"/>
    <w:rsid w:val="00EE53BD"/>
    <w:rsid w:val="00EE5D7B"/>
    <w:rsid w:val="00EE6C24"/>
    <w:rsid w:val="00EF20ED"/>
    <w:rsid w:val="00EF2F62"/>
    <w:rsid w:val="00F02BC6"/>
    <w:rsid w:val="00F031DC"/>
    <w:rsid w:val="00F05763"/>
    <w:rsid w:val="00F063E5"/>
    <w:rsid w:val="00F13FC9"/>
    <w:rsid w:val="00F14DE2"/>
    <w:rsid w:val="00F15E3F"/>
    <w:rsid w:val="00F16095"/>
    <w:rsid w:val="00F20168"/>
    <w:rsid w:val="00F22FF1"/>
    <w:rsid w:val="00F25529"/>
    <w:rsid w:val="00F27B9B"/>
    <w:rsid w:val="00F334C4"/>
    <w:rsid w:val="00F3559A"/>
    <w:rsid w:val="00F35B1D"/>
    <w:rsid w:val="00F36059"/>
    <w:rsid w:val="00F366B7"/>
    <w:rsid w:val="00F40767"/>
    <w:rsid w:val="00F407F7"/>
    <w:rsid w:val="00F40C4E"/>
    <w:rsid w:val="00F4560B"/>
    <w:rsid w:val="00F46849"/>
    <w:rsid w:val="00F46A62"/>
    <w:rsid w:val="00F47E89"/>
    <w:rsid w:val="00F50685"/>
    <w:rsid w:val="00F523ED"/>
    <w:rsid w:val="00F525AF"/>
    <w:rsid w:val="00F52A75"/>
    <w:rsid w:val="00F6133C"/>
    <w:rsid w:val="00F61506"/>
    <w:rsid w:val="00F63B15"/>
    <w:rsid w:val="00F64241"/>
    <w:rsid w:val="00F64CCE"/>
    <w:rsid w:val="00F66176"/>
    <w:rsid w:val="00F733C3"/>
    <w:rsid w:val="00F75D22"/>
    <w:rsid w:val="00F763D3"/>
    <w:rsid w:val="00F767C7"/>
    <w:rsid w:val="00F810EE"/>
    <w:rsid w:val="00F8288E"/>
    <w:rsid w:val="00F8357D"/>
    <w:rsid w:val="00F838D4"/>
    <w:rsid w:val="00F85B6A"/>
    <w:rsid w:val="00F94EBE"/>
    <w:rsid w:val="00F95D1A"/>
    <w:rsid w:val="00F972D2"/>
    <w:rsid w:val="00F979E4"/>
    <w:rsid w:val="00FA0C16"/>
    <w:rsid w:val="00FA3951"/>
    <w:rsid w:val="00FA4CAF"/>
    <w:rsid w:val="00FA5ABD"/>
    <w:rsid w:val="00FA6CC2"/>
    <w:rsid w:val="00FB074E"/>
    <w:rsid w:val="00FB2B6B"/>
    <w:rsid w:val="00FB2E73"/>
    <w:rsid w:val="00FB3305"/>
    <w:rsid w:val="00FB469F"/>
    <w:rsid w:val="00FB47FF"/>
    <w:rsid w:val="00FB5313"/>
    <w:rsid w:val="00FB7921"/>
    <w:rsid w:val="00FC04B7"/>
    <w:rsid w:val="00FD2B66"/>
    <w:rsid w:val="00FD41FB"/>
    <w:rsid w:val="00FD4DF0"/>
    <w:rsid w:val="00FD58E4"/>
    <w:rsid w:val="00FD6FB6"/>
    <w:rsid w:val="00FD783E"/>
    <w:rsid w:val="00FE4D6D"/>
    <w:rsid w:val="00FE5577"/>
    <w:rsid w:val="00FE6332"/>
    <w:rsid w:val="00FF5537"/>
    <w:rsid w:val="00FF65CE"/>
    <w:rsid w:val="00FF79F5"/>
    <w:rsid w:val="01E95AE8"/>
    <w:rsid w:val="02112DC9"/>
    <w:rsid w:val="0357FDE4"/>
    <w:rsid w:val="0365C5BE"/>
    <w:rsid w:val="03FD7312"/>
    <w:rsid w:val="044FB9A6"/>
    <w:rsid w:val="04A925D7"/>
    <w:rsid w:val="04EB0809"/>
    <w:rsid w:val="056E55C5"/>
    <w:rsid w:val="062BD201"/>
    <w:rsid w:val="072183E7"/>
    <w:rsid w:val="072B7C65"/>
    <w:rsid w:val="0790D506"/>
    <w:rsid w:val="0970CBDB"/>
    <w:rsid w:val="0A056C42"/>
    <w:rsid w:val="0ABC57E5"/>
    <w:rsid w:val="0B4F1BED"/>
    <w:rsid w:val="0CECF885"/>
    <w:rsid w:val="0E0D3337"/>
    <w:rsid w:val="0E171BC3"/>
    <w:rsid w:val="0EAC7D24"/>
    <w:rsid w:val="0EBF0EF8"/>
    <w:rsid w:val="100F7734"/>
    <w:rsid w:val="10705997"/>
    <w:rsid w:val="10CAF07C"/>
    <w:rsid w:val="110BC504"/>
    <w:rsid w:val="110C0100"/>
    <w:rsid w:val="11790B0D"/>
    <w:rsid w:val="11AA125D"/>
    <w:rsid w:val="1637D2F2"/>
    <w:rsid w:val="1864633C"/>
    <w:rsid w:val="1990DC2B"/>
    <w:rsid w:val="1A0A0F8A"/>
    <w:rsid w:val="1A59A104"/>
    <w:rsid w:val="1C0A0CC0"/>
    <w:rsid w:val="1E170DF1"/>
    <w:rsid w:val="1EF77A92"/>
    <w:rsid w:val="1F680766"/>
    <w:rsid w:val="21E3A02B"/>
    <w:rsid w:val="2229A8B9"/>
    <w:rsid w:val="24EB5507"/>
    <w:rsid w:val="254C4EAB"/>
    <w:rsid w:val="25AE53FB"/>
    <w:rsid w:val="2912CDA3"/>
    <w:rsid w:val="29C794FC"/>
    <w:rsid w:val="2D5490B5"/>
    <w:rsid w:val="304271FE"/>
    <w:rsid w:val="30F1652F"/>
    <w:rsid w:val="34B6BBA9"/>
    <w:rsid w:val="36572566"/>
    <w:rsid w:val="378D67D8"/>
    <w:rsid w:val="3C63F238"/>
    <w:rsid w:val="3CBFC904"/>
    <w:rsid w:val="3D7C6015"/>
    <w:rsid w:val="3FD25399"/>
    <w:rsid w:val="4167A52A"/>
    <w:rsid w:val="42E96ED6"/>
    <w:rsid w:val="43DA318C"/>
    <w:rsid w:val="43E01F0C"/>
    <w:rsid w:val="4449979C"/>
    <w:rsid w:val="4456C051"/>
    <w:rsid w:val="447ACE2B"/>
    <w:rsid w:val="448DE68B"/>
    <w:rsid w:val="453E40EF"/>
    <w:rsid w:val="472DF263"/>
    <w:rsid w:val="4874E015"/>
    <w:rsid w:val="49127E51"/>
    <w:rsid w:val="49DF5D78"/>
    <w:rsid w:val="4D6CE89E"/>
    <w:rsid w:val="4DDED0D9"/>
    <w:rsid w:val="4E1DEF2F"/>
    <w:rsid w:val="4E533457"/>
    <w:rsid w:val="4EBDDD3C"/>
    <w:rsid w:val="4FE5C6EB"/>
    <w:rsid w:val="5088A224"/>
    <w:rsid w:val="51658662"/>
    <w:rsid w:val="517BF711"/>
    <w:rsid w:val="51937CB4"/>
    <w:rsid w:val="5213FF7D"/>
    <w:rsid w:val="53F58E5A"/>
    <w:rsid w:val="546803C6"/>
    <w:rsid w:val="553E4E5C"/>
    <w:rsid w:val="56B31FCD"/>
    <w:rsid w:val="57C6DA96"/>
    <w:rsid w:val="580F9019"/>
    <w:rsid w:val="5894FD70"/>
    <w:rsid w:val="5ACD0D89"/>
    <w:rsid w:val="5BBF708F"/>
    <w:rsid w:val="5C15FAE7"/>
    <w:rsid w:val="5EC74558"/>
    <w:rsid w:val="5F59C0D8"/>
    <w:rsid w:val="5F9DCD36"/>
    <w:rsid w:val="623CD80C"/>
    <w:rsid w:val="629D15E1"/>
    <w:rsid w:val="62C75A4B"/>
    <w:rsid w:val="62DFBED3"/>
    <w:rsid w:val="62FFB852"/>
    <w:rsid w:val="63418193"/>
    <w:rsid w:val="64BC5705"/>
    <w:rsid w:val="64EA1CFF"/>
    <w:rsid w:val="65004BA3"/>
    <w:rsid w:val="66BAD320"/>
    <w:rsid w:val="6710CE6C"/>
    <w:rsid w:val="6C17E016"/>
    <w:rsid w:val="6CC342EF"/>
    <w:rsid w:val="6D76CEA0"/>
    <w:rsid w:val="6FA858B2"/>
    <w:rsid w:val="718F5630"/>
    <w:rsid w:val="71EE7431"/>
    <w:rsid w:val="7235FCC2"/>
    <w:rsid w:val="72A4E341"/>
    <w:rsid w:val="7354DDC0"/>
    <w:rsid w:val="735A530A"/>
    <w:rsid w:val="74F08E2B"/>
    <w:rsid w:val="7607D036"/>
    <w:rsid w:val="765FE83A"/>
    <w:rsid w:val="76C0EA1B"/>
    <w:rsid w:val="7741B571"/>
    <w:rsid w:val="7AA17F45"/>
    <w:rsid w:val="7C3CBD6D"/>
    <w:rsid w:val="7D25F181"/>
    <w:rsid w:val="7EF276EF"/>
    <w:rsid w:val="7F65CE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5CDF"/>
  <w15:chartTrackingRefBased/>
  <w15:docId w15:val="{D6EF4935-F552-4973-B2A7-31190D94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B427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523"/>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FA"/>
    <w:rPr>
      <w:rFonts w:ascii="Segoe UI" w:hAnsi="Segoe UI" w:cs="Segoe UI"/>
      <w:sz w:val="18"/>
      <w:szCs w:val="18"/>
      <w:lang w:val="en-GB"/>
    </w:rPr>
  </w:style>
  <w:style w:type="paragraph" w:styleId="ListParagraph">
    <w:name w:val="List Paragraph"/>
    <w:aliases w:val="Bullets (ESP),Dot pt,F5 List Paragraph,List Paragraph1,No Spacing1,List Paragraph Char Char Char,Indicator Text,Numbered Para 1,Bullet 1,List Paragraph12,Bullet Points,MAIN CONTENT,List Paragraph11,List Paragraph2,OBC Bullet,L"/>
    <w:basedOn w:val="Normal"/>
    <w:link w:val="ListParagraphChar"/>
    <w:uiPriority w:val="34"/>
    <w:qFormat/>
    <w:rsid w:val="00575813"/>
    <w:pPr>
      <w:spacing w:before="100" w:after="200" w:line="276" w:lineRule="auto"/>
      <w:ind w:left="720"/>
      <w:contextualSpacing/>
    </w:pPr>
    <w:rPr>
      <w:rFonts w:eastAsiaTheme="minorEastAsia"/>
      <w:sz w:val="20"/>
      <w:szCs w:val="20"/>
      <w:lang w:val="en-US"/>
    </w:rPr>
  </w:style>
  <w:style w:type="character" w:customStyle="1" w:styleId="ListParagraphChar">
    <w:name w:val="List Paragraph Char"/>
    <w:aliases w:val="Bullets (ESP) Char,Dot pt Char,F5 List Paragraph Char,List Paragraph1 Char,No Spacing1 Char,List Paragraph Char Char Char Char,Indicator Text Char,Numbered Para 1 Char,Bullet 1 Char,List Paragraph12 Char,Bullet Points Char,L Char"/>
    <w:link w:val="ListParagraph"/>
    <w:uiPriority w:val="34"/>
    <w:qFormat/>
    <w:rsid w:val="00575813"/>
    <w:rPr>
      <w:rFonts w:eastAsiaTheme="minorEastAsia"/>
      <w:sz w:val="20"/>
      <w:szCs w:val="20"/>
    </w:rPr>
  </w:style>
  <w:style w:type="character" w:styleId="CommentReference">
    <w:name w:val="annotation reference"/>
    <w:basedOn w:val="DefaultParagraphFont"/>
    <w:uiPriority w:val="99"/>
    <w:semiHidden/>
    <w:unhideWhenUsed/>
    <w:rsid w:val="00D24523"/>
    <w:rPr>
      <w:sz w:val="16"/>
      <w:szCs w:val="16"/>
    </w:rPr>
  </w:style>
  <w:style w:type="paragraph" w:styleId="CommentText">
    <w:name w:val="annotation text"/>
    <w:basedOn w:val="Normal"/>
    <w:link w:val="CommentTextChar"/>
    <w:uiPriority w:val="99"/>
    <w:unhideWhenUsed/>
    <w:rsid w:val="00D24523"/>
    <w:pPr>
      <w:spacing w:before="100" w:after="200" w:line="240" w:lineRule="auto"/>
    </w:pPr>
    <w:rPr>
      <w:rFonts w:eastAsia="Yu Mincho"/>
      <w:sz w:val="20"/>
      <w:szCs w:val="20"/>
      <w:lang w:val="en-US"/>
    </w:rPr>
  </w:style>
  <w:style w:type="character" w:customStyle="1" w:styleId="CommentTextChar">
    <w:name w:val="Comment Text Char"/>
    <w:basedOn w:val="DefaultParagraphFont"/>
    <w:link w:val="CommentText"/>
    <w:uiPriority w:val="99"/>
    <w:rsid w:val="00D24523"/>
    <w:rPr>
      <w:rFonts w:eastAsia="Yu Mincho"/>
      <w:sz w:val="20"/>
      <w:szCs w:val="20"/>
    </w:rPr>
  </w:style>
  <w:style w:type="character" w:customStyle="1" w:styleId="Heading3Char">
    <w:name w:val="Heading 3 Char"/>
    <w:basedOn w:val="DefaultParagraphFont"/>
    <w:link w:val="Heading3"/>
    <w:uiPriority w:val="9"/>
    <w:rsid w:val="00D24523"/>
    <w:rPr>
      <w:rFonts w:eastAsiaTheme="minorEastAsia"/>
      <w:caps/>
      <w:color w:val="1F3763" w:themeColor="accent1" w:themeShade="7F"/>
      <w:spacing w:val="15"/>
      <w:sz w:val="20"/>
      <w:szCs w:val="20"/>
    </w:rPr>
  </w:style>
  <w:style w:type="paragraph" w:styleId="ListBullet">
    <w:name w:val="List Bullet"/>
    <w:basedOn w:val="NoSpacing"/>
    <w:uiPriority w:val="99"/>
    <w:qFormat/>
    <w:rsid w:val="00D24523"/>
    <w:pPr>
      <w:numPr>
        <w:numId w:val="3"/>
      </w:numPr>
      <w:contextualSpacing/>
    </w:pPr>
    <w:rPr>
      <w:rFonts w:ascii="Calibri" w:eastAsia="Times New Roman" w:hAnsi="Calibri" w:cs="Arial"/>
      <w:bCs/>
    </w:rPr>
  </w:style>
  <w:style w:type="paragraph" w:styleId="ListBullet2">
    <w:name w:val="List Bullet 2"/>
    <w:basedOn w:val="ListBullet"/>
    <w:uiPriority w:val="99"/>
    <w:unhideWhenUsed/>
    <w:rsid w:val="00D24523"/>
    <w:pPr>
      <w:numPr>
        <w:ilvl w:val="1"/>
      </w:numPr>
    </w:pPr>
  </w:style>
  <w:style w:type="paragraph" w:styleId="ListBullet3">
    <w:name w:val="List Bullet 3"/>
    <w:basedOn w:val="ListBullet2"/>
    <w:uiPriority w:val="99"/>
    <w:unhideWhenUsed/>
    <w:rsid w:val="00D24523"/>
    <w:pPr>
      <w:numPr>
        <w:ilvl w:val="2"/>
      </w:numPr>
    </w:pPr>
  </w:style>
  <w:style w:type="numbering" w:customStyle="1" w:styleId="ListBullets">
    <w:name w:val="ListBullets"/>
    <w:uiPriority w:val="99"/>
    <w:rsid w:val="00D24523"/>
    <w:pPr>
      <w:numPr>
        <w:numId w:val="3"/>
      </w:numPr>
    </w:pPr>
  </w:style>
  <w:style w:type="paragraph" w:styleId="NoSpacing">
    <w:name w:val="No Spacing"/>
    <w:uiPriority w:val="1"/>
    <w:qFormat/>
    <w:rsid w:val="00D24523"/>
    <w:pPr>
      <w:spacing w:after="0" w:line="240" w:lineRule="auto"/>
    </w:pPr>
    <w:rPr>
      <w:lang w:val="en-GB"/>
    </w:rPr>
  </w:style>
  <w:style w:type="paragraph" w:styleId="CommentSubject">
    <w:name w:val="annotation subject"/>
    <w:basedOn w:val="CommentText"/>
    <w:next w:val="CommentText"/>
    <w:link w:val="CommentSubjectChar"/>
    <w:uiPriority w:val="99"/>
    <w:semiHidden/>
    <w:unhideWhenUsed/>
    <w:rsid w:val="00D24523"/>
    <w:pPr>
      <w:spacing w:before="0" w:after="160"/>
    </w:pPr>
    <w:rPr>
      <w:rFonts w:eastAsiaTheme="minorHAnsi"/>
      <w:b/>
      <w:bCs/>
      <w:lang w:val="en-GB"/>
    </w:rPr>
  </w:style>
  <w:style w:type="character" w:customStyle="1" w:styleId="CommentSubjectChar">
    <w:name w:val="Comment Subject Char"/>
    <w:basedOn w:val="CommentTextChar"/>
    <w:link w:val="CommentSubject"/>
    <w:uiPriority w:val="99"/>
    <w:semiHidden/>
    <w:rsid w:val="00D24523"/>
    <w:rPr>
      <w:rFonts w:eastAsia="Yu Mincho"/>
      <w:b/>
      <w:bCs/>
      <w:sz w:val="20"/>
      <w:szCs w:val="20"/>
      <w:lang w:val="en-GB"/>
    </w:rPr>
  </w:style>
  <w:style w:type="character" w:customStyle="1" w:styleId="Heading2Char">
    <w:name w:val="Heading 2 Char"/>
    <w:basedOn w:val="DefaultParagraphFont"/>
    <w:link w:val="Heading2"/>
    <w:uiPriority w:val="9"/>
    <w:semiHidden/>
    <w:rsid w:val="00B427B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67381D"/>
    <w:rPr>
      <w:color w:val="0563C1" w:themeColor="hyperlink"/>
      <w:u w:val="single"/>
    </w:rPr>
  </w:style>
  <w:style w:type="character" w:styleId="UnresolvedMention">
    <w:name w:val="Unresolved Mention"/>
    <w:basedOn w:val="DefaultParagraphFont"/>
    <w:uiPriority w:val="99"/>
    <w:unhideWhenUsed/>
    <w:rsid w:val="0067381D"/>
    <w:rPr>
      <w:color w:val="605E5C"/>
      <w:shd w:val="clear" w:color="auto" w:fill="E1DFDD"/>
    </w:rPr>
  </w:style>
  <w:style w:type="paragraph" w:styleId="FootnoteText">
    <w:name w:val="footnote text"/>
    <w:basedOn w:val="Normal"/>
    <w:link w:val="FootnoteTextChar"/>
    <w:uiPriority w:val="99"/>
    <w:semiHidden/>
    <w:unhideWhenUsed/>
    <w:rsid w:val="00B65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2EC"/>
    <w:rPr>
      <w:sz w:val="20"/>
      <w:szCs w:val="20"/>
      <w:lang w:val="en-GB"/>
    </w:rPr>
  </w:style>
  <w:style w:type="character" w:styleId="FootnoteReference">
    <w:name w:val="footnote reference"/>
    <w:basedOn w:val="DefaultParagraphFont"/>
    <w:uiPriority w:val="99"/>
    <w:semiHidden/>
    <w:unhideWhenUsed/>
    <w:rsid w:val="00B652EC"/>
    <w:rPr>
      <w:vertAlign w:val="superscript"/>
    </w:rPr>
  </w:style>
  <w:style w:type="paragraph" w:styleId="Header">
    <w:name w:val="header"/>
    <w:basedOn w:val="Normal"/>
    <w:link w:val="HeaderChar"/>
    <w:uiPriority w:val="99"/>
    <w:semiHidden/>
    <w:unhideWhenUsed/>
    <w:rsid w:val="007757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6590"/>
    <w:rPr>
      <w:lang w:val="en-GB"/>
    </w:rPr>
  </w:style>
  <w:style w:type="paragraph" w:styleId="Footer">
    <w:name w:val="footer"/>
    <w:basedOn w:val="Normal"/>
    <w:link w:val="FooterChar"/>
    <w:uiPriority w:val="99"/>
    <w:semiHidden/>
    <w:unhideWhenUsed/>
    <w:rsid w:val="007757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6590"/>
    <w:rPr>
      <w:lang w:val="en-GB"/>
    </w:rPr>
  </w:style>
  <w:style w:type="character" w:styleId="Mention">
    <w:name w:val="Mention"/>
    <w:basedOn w:val="DefaultParagraphFont"/>
    <w:uiPriority w:val="99"/>
    <w:unhideWhenUsed/>
    <w:rsid w:val="00FF5537"/>
    <w:rPr>
      <w:color w:val="2B579A"/>
      <w:shd w:val="clear" w:color="auto" w:fill="E1DFDD"/>
    </w:rPr>
  </w:style>
  <w:style w:type="character" w:styleId="FollowedHyperlink">
    <w:name w:val="FollowedHyperlink"/>
    <w:basedOn w:val="DefaultParagraphFont"/>
    <w:uiPriority w:val="99"/>
    <w:semiHidden/>
    <w:unhideWhenUsed/>
    <w:rsid w:val="00016BC2"/>
    <w:rPr>
      <w:color w:val="954F72" w:themeColor="followedHyperlink"/>
      <w:u w:val="single"/>
    </w:rPr>
  </w:style>
  <w:style w:type="table" w:styleId="TableGrid">
    <w:name w:val="Table Grid"/>
    <w:basedOn w:val="TableNormal"/>
    <w:uiPriority w:val="39"/>
    <w:rsid w:val="0053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2DB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61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t.org/principles-of-partnersh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t.org/wp-content/uploads/2020/09/22458_THET_-UKPHS-GESI-toolkit_V6-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nts@the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nts@the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42926/DFID-digital-guidance-for-partners-suppliers-Oct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2" ma:contentTypeDescription="Create a new document." ma:contentTypeScope="" ma:versionID="21e6d12ee2a5ca30f14aec0899e7135e">
  <xsd:schema xmlns:xsd="http://www.w3.org/2001/XMLSchema" xmlns:xs="http://www.w3.org/2001/XMLSchema" xmlns:p="http://schemas.microsoft.com/office/2006/metadata/properties" xmlns:ns2="6545576d-dafa-498f-8783-cb2839012e56" xmlns:ns3="06c3c85a-e57a-492a-8a8e-a6b5c52480c7" targetNamespace="http://schemas.microsoft.com/office/2006/metadata/properties" ma:root="true" ma:fieldsID="0e407ed1b5dabac676632f867376f557" ns2:_="" ns3:_="">
    <xsd:import namespace="6545576d-dafa-498f-8783-cb2839012e56"/>
    <xsd:import namespace="06c3c85a-e57a-492a-8a8e-a6b5c5248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EE1A-4427-4F46-A59C-BAB61E089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5F1E5-A419-469E-848D-EAB35D22C1E2}">
  <ds:schemaRefs>
    <ds:schemaRef ds:uri="http://purl.org/dc/elements/1.1/"/>
    <ds:schemaRef ds:uri="http://schemas.microsoft.com/office/2006/metadata/properties"/>
    <ds:schemaRef ds:uri="6545576d-dafa-498f-8783-cb2839012e56"/>
    <ds:schemaRef ds:uri="http://purl.org/dc/terms/"/>
    <ds:schemaRef ds:uri="http://schemas.openxmlformats.org/package/2006/metadata/core-properties"/>
    <ds:schemaRef ds:uri="http://schemas.microsoft.com/office/2006/documentManagement/types"/>
    <ds:schemaRef ds:uri="06c3c85a-e57a-492a-8a8e-a6b5c52480c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48CEBF-71F6-4D16-987A-12E1C6BA1B5F}">
  <ds:schemaRefs>
    <ds:schemaRef ds:uri="http://schemas.microsoft.com/sharepoint/v3/contenttype/forms"/>
  </ds:schemaRefs>
</ds:datastoreItem>
</file>

<file path=customXml/itemProps4.xml><?xml version="1.0" encoding="utf-8"?>
<ds:datastoreItem xmlns:ds="http://schemas.openxmlformats.org/officeDocument/2006/customXml" ds:itemID="{D963B296-9D5D-41C6-B861-A8FC8FA7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2485</Words>
  <Characters>14165</Characters>
  <Application>Microsoft Office Word</Application>
  <DocSecurity>0</DocSecurity>
  <Lines>118</Lines>
  <Paragraphs>33</Paragraphs>
  <ScaleCrop>false</ScaleCrop>
  <Company/>
  <LinksUpToDate>false</LinksUpToDate>
  <CharactersWithSpaces>16617</CharactersWithSpaces>
  <SharedDoc>false</SharedDoc>
  <HLinks>
    <vt:vector size="24" baseType="variant">
      <vt:variant>
        <vt:i4>4456552</vt:i4>
      </vt:variant>
      <vt:variant>
        <vt:i4>9</vt:i4>
      </vt:variant>
      <vt:variant>
        <vt:i4>0</vt:i4>
      </vt:variant>
      <vt:variant>
        <vt:i4>5</vt:i4>
      </vt:variant>
      <vt:variant>
        <vt:lpwstr>mailto:Grants@thet.org</vt:lpwstr>
      </vt:variant>
      <vt:variant>
        <vt:lpwstr/>
      </vt:variant>
      <vt:variant>
        <vt:i4>7143504</vt:i4>
      </vt:variant>
      <vt:variant>
        <vt:i4>6</vt:i4>
      </vt:variant>
      <vt:variant>
        <vt:i4>0</vt:i4>
      </vt:variant>
      <vt:variant>
        <vt:i4>5</vt:i4>
      </vt:variant>
      <vt:variant>
        <vt:lpwstr>https://assets.publishing.service.gov.uk/government/uploads/system/uploads/attachment_data/file/842926/DFID-digital-guidance-for-partners-suppliers-Oct19.pdf</vt:lpwstr>
      </vt:variant>
      <vt:variant>
        <vt:lpwstr/>
      </vt:variant>
      <vt:variant>
        <vt:i4>8257632</vt:i4>
      </vt:variant>
      <vt:variant>
        <vt:i4>3</vt:i4>
      </vt:variant>
      <vt:variant>
        <vt:i4>0</vt:i4>
      </vt:variant>
      <vt:variant>
        <vt:i4>5</vt:i4>
      </vt:variant>
      <vt:variant>
        <vt:lpwstr>https://www.thet.org/principles-of-partnership/</vt:lpwstr>
      </vt:variant>
      <vt:variant>
        <vt:lpwstr/>
      </vt:variant>
      <vt:variant>
        <vt:i4>2097188</vt:i4>
      </vt:variant>
      <vt:variant>
        <vt:i4>0</vt:i4>
      </vt:variant>
      <vt:variant>
        <vt:i4>0</vt:i4>
      </vt:variant>
      <vt:variant>
        <vt:i4>5</vt:i4>
      </vt:variant>
      <vt:variant>
        <vt:lpwstr>https://www.thet.org/resources/gender-equality-toolkit-for-health-partnerships/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Waddingham</dc:creator>
  <cp:keywords/>
  <dc:description/>
  <cp:lastModifiedBy>Richard Skone-James</cp:lastModifiedBy>
  <cp:revision>5</cp:revision>
  <dcterms:created xsi:type="dcterms:W3CDTF">2020-09-30T15:09:00Z</dcterms:created>
  <dcterms:modified xsi:type="dcterms:W3CDTF">2020-09-30T21:33:00Z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ies>
</file>